
<file path=[Content_Types].xml><?xml version="1.0" encoding="utf-8"?>
<Types xmlns="http://schemas.openxmlformats.org/package/2006/content-types">
  <Override PartName="/word/media/image4.png" ContentType="image/png"/>
  <Override PartName="/word/media/image3.png" ContentType="image/pn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spacing w:after="0" w:before="0" w:line="240" w:lineRule="atLeast"/>
      </w:pPr>
      <w:r>
        <w:rPr>
          <w:sz w:val="28"/>
          <w:szCs w:val="28"/>
        </w:rPr>
      </w:r>
    </w:p>
    <w:p>
      <w:pPr>
        <w:pStyle w:val="style0"/>
        <w:jc w:val="center"/>
        <w:spacing w:after="0" w:before="0" w:line="240" w:lineRule="atLeast"/>
      </w:pPr>
      <w:r>
        <w:rPr>
          <w:sz w:val="28"/>
          <w:b/>
          <w:szCs w:val="28"/>
          <w:rFonts w:ascii="Times New Roman" w:hAnsi="Times New Roman"/>
        </w:rPr>
        <w:t xml:space="preserve">Аннотация к проекту рабочей программы по учебному предмету </w:t>
      </w:r>
    </w:p>
    <w:p>
      <w:pPr>
        <w:pStyle w:val="style0"/>
        <w:jc w:val="center"/>
        <w:spacing w:after="0" w:before="0" w:line="240" w:lineRule="atLeast"/>
      </w:pPr>
      <w:r>
        <w:rPr>
          <w:sz w:val="28"/>
          <w:b/>
          <w:szCs w:val="28"/>
          <w:rFonts w:ascii="Times New Roman" w:hAnsi="Times New Roman"/>
        </w:rPr>
        <w:t>«Ансамбль» (ОП.01.УП.02.)</w:t>
      </w:r>
    </w:p>
    <w:p>
      <w:pPr>
        <w:pStyle w:val="style0"/>
        <w:jc w:val="center"/>
        <w:spacing w:after="0" w:before="0" w:line="240" w:lineRule="atLeast"/>
      </w:pPr>
      <w:r>
        <w:rPr>
          <w:sz w:val="28"/>
          <w:b/>
          <w:szCs w:val="28"/>
          <w:rFonts w:ascii="Times New Roman" w:hAnsi="Times New Roman"/>
        </w:rPr>
      </w:r>
    </w:p>
    <w:p>
      <w:pPr>
        <w:pStyle w:val="style0"/>
        <w:jc w:val="center"/>
        <w:spacing w:after="0" w:before="0" w:line="240" w:lineRule="atLeast"/>
      </w:pPr>
      <w:r>
        <w:rPr>
          <w:sz w:val="28"/>
          <w:b/>
          <w:szCs w:val="28"/>
          <w:rFonts w:ascii="Times New Roman" w:hAnsi="Times New Roman"/>
        </w:rPr>
      </w:r>
    </w:p>
    <w:p>
      <w:pPr>
        <w:pStyle w:val="style0"/>
        <w:jc w:val="both"/>
        <w:ind w:firstLine="708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Программа учебного предмета  «Ансамбль» 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«Народные инструменты».</w:t>
      </w:r>
    </w:p>
    <w:p>
      <w:pPr>
        <w:pStyle w:val="style0"/>
        <w:jc w:val="both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Цель:</w:t>
      </w:r>
      <w:r>
        <w:rPr>
          <w:sz w:val="28"/>
          <w:szCs w:val="28"/>
          <w:rFonts w:ascii="Times New Roman" w:hAnsi="Times New Roman"/>
        </w:rPr>
        <w:t xml:space="preserve"> развитие музыкально-творческих способностей учащегося на основе приобретенных им знаний, умений и навыков в области ансамблевого исполнительства.</w:t>
      </w:r>
    </w:p>
    <w:p>
      <w:pPr>
        <w:pStyle w:val="style0"/>
        <w:jc w:val="both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Срок обучения.</w:t>
      </w:r>
      <w:r>
        <w:rPr>
          <w:sz w:val="28"/>
          <w:szCs w:val="28"/>
          <w:rFonts w:ascii="Times New Roman" w:hAnsi="Times New Roman"/>
        </w:rPr>
        <w:t xml:space="preserve"> Реализации данной программы осуществляется с 4 по 8 классы (по образовательным программам со сроком обучения 8-9 лет) и со 2 по 5 классы (по образовательным программам со сроком обучения 5-6 лет). </w:t>
      </w:r>
    </w:p>
    <w:p>
      <w:pPr>
        <w:pStyle w:val="style0"/>
        <w:jc w:val="both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 xml:space="preserve">Форма проведения учебных аудиторных занятий: групповая. </w:t>
      </w:r>
    </w:p>
    <w:p>
      <w:pPr>
        <w:pStyle w:val="style0"/>
        <w:jc w:val="both"/>
        <w:ind w:firstLine="750" w:left="-42" w:right="0"/>
        <w:spacing w:after="0" w:before="0" w:line="240" w:lineRule="atLeast"/>
      </w:pPr>
      <w:r>
        <w:rPr>
          <w:sz w:val="24"/>
          <w:b/>
          <w:szCs w:val="24"/>
          <w:rFonts w:ascii="Times New Roman" w:hAnsi="Times New Roman"/>
        </w:rPr>
      </w:r>
    </w:p>
    <w:p>
      <w:pPr>
        <w:pStyle w:val="style0"/>
        <w:jc w:val="both"/>
        <w:ind w:firstLine="750" w:left="-42" w:right="0"/>
        <w:spacing w:after="0" w:before="0" w:line="240" w:lineRule="atLeast"/>
      </w:pPr>
      <w:r>
        <w:rPr>
          <w:sz w:val="28"/>
          <w:b/>
          <w:szCs w:val="28"/>
          <w:rFonts w:ascii="Times New Roman" w:hAnsi="Times New Roman"/>
        </w:rPr>
        <w:t>Автор: Баранова Е.В., преподаватель МБОУ ДОД «ДМШ № 12»</w:t>
      </w:r>
    </w:p>
    <w:p>
      <w:pPr>
        <w:pStyle w:val="style0"/>
        <w:jc w:val="both"/>
        <w:ind w:firstLine="750" w:left="-42" w:right="0"/>
        <w:spacing w:after="0" w:before="0" w:line="240" w:lineRule="atLeast"/>
      </w:pPr>
      <w:r>
        <w:rPr>
          <w:sz w:val="24"/>
          <w:b/>
          <w:szCs w:val="24"/>
          <w:rFonts w:ascii="Times New Roman" w:hAnsi="Times New Roman"/>
        </w:rPr>
      </w:r>
    </w:p>
    <w:p>
      <w:pPr>
        <w:pStyle w:val="style0"/>
        <w:jc w:val="both"/>
        <w:ind w:firstLine="750" w:left="-42" w:right="0"/>
        <w:spacing w:after="0" w:before="0" w:line="240" w:lineRule="atLeast"/>
      </w:pPr>
      <w:r>
        <w:rPr>
          <w:sz w:val="24"/>
          <w:b/>
          <w:szCs w:val="24"/>
          <w:rFonts w:ascii="Times New Roman" w:hAnsi="Times New Roman"/>
        </w:rPr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  <w:drawing>
          <wp:inline distB="0" distL="0" distR="0" distT="0">
            <wp:extent cx="6645910" cy="91478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/>
        <w:drawing>
          <wp:inline distB="0" distL="0" distR="0" distT="0">
            <wp:extent cx="6645910" cy="91478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sz w:val="28"/>
          <w:szCs w:val="28"/>
          <w:rFonts w:ascii="Times New Roman" w:hAnsi="Times New Roman"/>
        </w:rPr>
        <w:t xml:space="preserve">Департамент культуры. Туризма и молодежной политики </w:t>
      </w:r>
    </w:p>
    <w:p>
      <w:pPr>
        <w:pStyle w:val="style0"/>
        <w:jc w:val="center"/>
      </w:pPr>
      <w:r>
        <w:rPr>
          <w:sz w:val="28"/>
          <w:szCs w:val="28"/>
          <w:rFonts w:ascii="Times New Roman" w:hAnsi="Times New Roman"/>
        </w:rPr>
        <w:t>Администрации городского округа Самара</w:t>
      </w:r>
    </w:p>
    <w:p>
      <w:pPr>
        <w:pStyle w:val="style0"/>
        <w:jc w:val="center"/>
      </w:pPr>
      <w:r>
        <w:rPr>
          <w:sz w:val="28"/>
          <w:szCs w:val="28"/>
          <w:rFonts w:ascii="Times New Roman" w:hAnsi="Times New Roman"/>
        </w:rPr>
        <w:t>муниципальное бюджетное образовательное учреждение дополнительного образования детей городского округа Самара «Детская музыкальная школа № 12»</w:t>
      </w:r>
    </w:p>
    <w:p>
      <w:pPr>
        <w:pStyle w:val="style0"/>
        <w:jc w:val="center"/>
      </w:pPr>
      <w:r>
        <w:rPr>
          <w:sz w:val="28"/>
          <w:szCs w:val="28"/>
          <w:rFonts w:ascii="Times New Roman" w:hAnsi="Times New Roman"/>
        </w:rPr>
        <w:t>(</w:t>
      </w:r>
      <w:r>
        <w:rPr>
          <w:sz w:val="28"/>
          <w:szCs w:val="28"/>
          <w:rFonts w:ascii="Times New Roman" w:hAnsi="Times New Roman"/>
        </w:rPr>
        <w:t>МБОУ ДОД г. о. Самара «Д</w:t>
      </w:r>
      <w:r>
        <w:rPr>
          <w:sz w:val="28"/>
          <w:szCs w:val="28"/>
          <w:rFonts w:ascii="Times New Roman" w:hAnsi="Times New Roman"/>
        </w:rPr>
        <w:t>МШ</w:t>
      </w:r>
      <w:r>
        <w:rPr>
          <w:sz w:val="28"/>
          <w:szCs w:val="28"/>
          <w:rFonts w:ascii="Times New Roman" w:hAnsi="Times New Roman"/>
        </w:rPr>
        <w:t xml:space="preserve"> №12»</w:t>
      </w:r>
      <w:r>
        <w:rPr>
          <w:sz w:val="28"/>
          <w:szCs w:val="28"/>
          <w:rFonts w:ascii="Times New Roman" w:hAnsi="Times New Roman"/>
        </w:rPr>
        <w:t>)</w:t>
      </w:r>
    </w:p>
    <w:p>
      <w:pPr>
        <w:pStyle w:val="style0"/>
        <w:jc w:val="center"/>
      </w:pPr>
      <w:r>
        <w:rPr>
          <w:sz w:val="24"/>
          <w:szCs w:val="24"/>
          <w:rFonts w:ascii="Times New Roman" w:hAnsi="Times New Roman"/>
        </w:rPr>
      </w:r>
    </w:p>
    <w:p>
      <w:pPr>
        <w:pStyle w:val="style0"/>
        <w:jc w:val="center"/>
      </w:pPr>
      <w:r>
        <w:rPr>
          <w:sz w:val="40"/>
          <w:b/>
          <w:szCs w:val="40"/>
          <w:rFonts w:ascii="Times New Roman" w:hAnsi="Times New Roman"/>
        </w:rPr>
        <w:t>Дополнительная предпрофессиональная общеобразовательная программа в области музыкального искусства «Духовые и ударные инструменты»</w:t>
      </w:r>
    </w:p>
    <w:p>
      <w:pPr>
        <w:pStyle w:val="style0"/>
        <w:jc w:val="center"/>
        <w:widowControl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uppressAutoHyphens w:val="true"/>
      </w:pPr>
      <w:r>
        <w:rPr>
          <w:caps/>
          <w:sz w:val="28"/>
          <w:b/>
          <w:szCs w:val="28"/>
          <w:rFonts w:ascii="Times New Roman" w:hAnsi="Times New Roman"/>
        </w:rPr>
        <w:t>по.01. МУЗЫКАЛЬНОЕ ИСПОЛНИТНЛЬСТВО</w:t>
      </w:r>
    </w:p>
    <w:p>
      <w:pPr>
        <w:pStyle w:val="style0"/>
        <w:jc w:val="center"/>
      </w:pPr>
      <w:r>
        <w:rPr>
          <w:sz w:val="40"/>
          <w:szCs w:val="40"/>
          <w:rFonts w:ascii="Times New Roman" w:hAnsi="Times New Roman"/>
        </w:rPr>
      </w:r>
    </w:p>
    <w:p>
      <w:pPr>
        <w:pStyle w:val="style0"/>
        <w:jc w:val="center"/>
      </w:pPr>
      <w:r>
        <w:rPr>
          <w:sz w:val="24"/>
          <w:szCs w:val="24"/>
          <w:rFonts w:ascii="Times New Roman" w:hAnsi="Times New Roman"/>
        </w:rPr>
      </w:r>
    </w:p>
    <w:p>
      <w:pPr>
        <w:pStyle w:val="style0"/>
        <w:jc w:val="center"/>
      </w:pPr>
      <w:r>
        <w:rPr>
          <w:sz w:val="24"/>
          <w:szCs w:val="24"/>
          <w:rFonts w:ascii="Times New Roman" w:hAnsi="Times New Roman"/>
        </w:rPr>
      </w:r>
    </w:p>
    <w:p>
      <w:pPr>
        <w:pStyle w:val="style0"/>
        <w:jc w:val="center"/>
        <w:widowControl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uppressAutoHyphens w:val="true"/>
      </w:pPr>
      <w:r>
        <w:rPr>
          <w:caps/>
          <w:sz w:val="28"/>
          <w:b/>
          <w:szCs w:val="28"/>
          <w:rFonts w:ascii="Times New Roman" w:hAnsi="Times New Roman"/>
        </w:rPr>
        <w:t xml:space="preserve">Программа учебного предмета </w:t>
      </w:r>
    </w:p>
    <w:p>
      <w:pPr>
        <w:pStyle w:val="style0"/>
        <w:jc w:val="center"/>
        <w:widowControl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uppressAutoHyphens w:val="true"/>
      </w:pPr>
      <w:r>
        <w:rPr>
          <w:caps/>
          <w:sz w:val="28"/>
          <w:b/>
          <w:szCs w:val="28"/>
          <w:rFonts w:ascii="Times New Roman" w:hAnsi="Times New Roman"/>
        </w:rPr>
        <w:t>УП. 02. «АНСАМБЛЬ»</w:t>
      </w:r>
    </w:p>
    <w:p>
      <w:pPr>
        <w:pStyle w:val="style0"/>
        <w:jc w:val="center"/>
        <w:widowControl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uppressAutoHyphens w:val="true"/>
      </w:pPr>
      <w:r>
        <w:rPr>
          <w:caps/>
          <w:sz w:val="28"/>
          <w:b/>
          <w:szCs w:val="28"/>
        </w:rPr>
      </w:r>
    </w:p>
    <w:p>
      <w:pPr>
        <w:pStyle w:val="style0"/>
        <w:jc w:val="center"/>
        <w:widowControl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uppressAutoHyphens w:val="true"/>
      </w:pPr>
      <w:r>
        <w:rPr>
          <w:caps/>
          <w:sz w:val="28"/>
          <w:b/>
          <w:szCs w:val="28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>Автор – Баранова Е.В.  преподаватель.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hAnsi="Times New Roman"/>
        </w:rPr>
        <w:t>Самара 2013г.</w:t>
      </w:r>
    </w:p>
    <w:p>
      <w:pPr>
        <w:pStyle w:val="style0"/>
        <w:jc w:val="center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center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center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Одобрена на заседании                                                        УТВЕРЖДАЮ                           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Методического объединения                                             Директор ДМШ№12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Оркестровых духовых инструментов                               Чуракина И.Г._______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«___» ____________________2013 г.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Председатель_______________________</w:t>
      </w:r>
    </w:p>
    <w:p>
      <w:pPr>
        <w:pStyle w:val="style0"/>
        <w:jc w:val="center"/>
        <w:spacing w:line="100" w:lineRule="atLeast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</w:pPr>
      <w:r>
        <w:rPr>
          <w:sz w:val="36"/>
          <w:szCs w:val="36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</w:rPr>
        <w:t>Структура программы учебного предмета</w:t>
      </w:r>
    </w:p>
    <w:p>
      <w:pPr>
        <w:pStyle w:val="style0"/>
      </w:pPr>
      <w:r>
        <w:rPr>
          <w:sz w:val="28"/>
          <w:szCs w:val="28"/>
          <w:rFonts w:ascii="Times New Roman" w:hAnsi="Times New Roman"/>
          <w:lang w:val="en-US"/>
        </w:rPr>
        <w:t>I</w:t>
      </w:r>
      <w:r>
        <w:rPr>
          <w:sz w:val="28"/>
          <w:szCs w:val="28"/>
          <w:rFonts w:ascii="Times New Roman" w:hAnsi="Times New Roman"/>
        </w:rPr>
        <w:t xml:space="preserve"> Пояснительная записка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Характеристика учебного предмета, его место и роль в образовательном процессе;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Срок реализации учебного предмета;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Форма проведения аудиторных учебных занятий;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Цель и задачи учебного предмета;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Обоснование структуры учебного предмета;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Методы обучения;</w:t>
      </w:r>
    </w:p>
    <w:p>
      <w:pPr>
        <w:pStyle w:val="style28"/>
        <w:numPr>
          <w:ilvl w:val="0"/>
          <w:numId w:val="1"/>
        </w:numPr>
      </w:pPr>
      <w:r>
        <w:rPr>
          <w:sz w:val="28"/>
          <w:szCs w:val="28"/>
          <w:rFonts w:ascii="Times New Roman" w:hAnsi="Times New Roman"/>
        </w:rPr>
        <w:t>Описание материально – технических условий реализации учебного предмета;</w:t>
      </w:r>
    </w:p>
    <w:p>
      <w:pPr>
        <w:pStyle w:val="style0"/>
      </w:pPr>
      <w:r>
        <w:rPr>
          <w:sz w:val="28"/>
          <w:szCs w:val="28"/>
          <w:rFonts w:ascii="Times New Roman" w:hAnsi="Times New Roman"/>
          <w:lang w:val="en-US"/>
        </w:rPr>
        <w:t>II</w:t>
      </w:r>
      <w:r>
        <w:rPr>
          <w:sz w:val="28"/>
          <w:szCs w:val="28"/>
          <w:rFonts w:ascii="Times New Roman" w:hAnsi="Times New Roman"/>
        </w:rPr>
        <w:t xml:space="preserve"> Содержание учебного предмета</w:t>
      </w:r>
    </w:p>
    <w:p>
      <w:pPr>
        <w:pStyle w:val="style28"/>
        <w:numPr>
          <w:ilvl w:val="0"/>
          <w:numId w:val="2"/>
        </w:numPr>
      </w:pPr>
      <w:r>
        <w:rPr>
          <w:sz w:val="28"/>
          <w:szCs w:val="28"/>
          <w:rFonts w:ascii="Times New Roman" w:hAnsi="Times New Roman"/>
        </w:rPr>
        <w:t>Сведения о затратах учебного времени;</w:t>
      </w:r>
    </w:p>
    <w:p>
      <w:pPr>
        <w:pStyle w:val="style0"/>
      </w:pPr>
      <w:r>
        <w:rPr>
          <w:sz w:val="28"/>
          <w:szCs w:val="28"/>
          <w:rFonts w:ascii="Times New Roman" w:hAnsi="Times New Roman"/>
          <w:lang w:val="en-US"/>
        </w:rPr>
        <w:t>III</w:t>
      </w:r>
      <w:r>
        <w:rPr>
          <w:sz w:val="28"/>
          <w:szCs w:val="28"/>
          <w:rFonts w:ascii="Times New Roman" w:hAnsi="Times New Roman"/>
        </w:rPr>
        <w:t xml:space="preserve"> Требования к уровню подготовки обучающихся</w:t>
      </w:r>
    </w:p>
    <w:p>
      <w:pPr>
        <w:pStyle w:val="style0"/>
      </w:pPr>
      <w:r>
        <w:rPr>
          <w:sz w:val="28"/>
          <w:szCs w:val="28"/>
          <w:rFonts w:ascii="Times New Roman" w:hAnsi="Times New Roman"/>
          <w:lang w:val="en-US"/>
        </w:rPr>
        <w:t>IV</w:t>
      </w:r>
      <w:r>
        <w:rPr>
          <w:sz w:val="28"/>
          <w:szCs w:val="28"/>
          <w:rFonts w:ascii="Times New Roman" w:hAnsi="Times New Roman"/>
        </w:rPr>
        <w:t xml:space="preserve"> Формы и методы контроля, система оценок</w:t>
      </w:r>
    </w:p>
    <w:p>
      <w:pPr>
        <w:pStyle w:val="style28"/>
        <w:numPr>
          <w:ilvl w:val="0"/>
          <w:numId w:val="3"/>
        </w:numPr>
      </w:pPr>
      <w:r>
        <w:rPr>
          <w:sz w:val="28"/>
          <w:szCs w:val="28"/>
          <w:rFonts w:ascii="Times New Roman" w:hAnsi="Times New Roman"/>
        </w:rPr>
        <w:t>Аттестация: цели, виды, форма, содержание;</w:t>
      </w:r>
    </w:p>
    <w:p>
      <w:pPr>
        <w:pStyle w:val="style28"/>
        <w:numPr>
          <w:ilvl w:val="0"/>
          <w:numId w:val="3"/>
        </w:numPr>
      </w:pPr>
      <w:r>
        <w:rPr>
          <w:sz w:val="28"/>
          <w:szCs w:val="28"/>
          <w:rFonts w:ascii="Times New Roman" w:hAnsi="Times New Roman"/>
        </w:rPr>
        <w:t>Критерии оценки;</w:t>
      </w:r>
    </w:p>
    <w:p>
      <w:pPr>
        <w:pStyle w:val="style0"/>
      </w:pPr>
      <w:r>
        <w:rPr>
          <w:sz w:val="28"/>
          <w:szCs w:val="28"/>
          <w:rFonts w:ascii="Times New Roman" w:hAnsi="Times New Roman"/>
          <w:lang w:val="en-US"/>
        </w:rPr>
        <w:t>V</w:t>
      </w:r>
      <w:r>
        <w:rPr>
          <w:sz w:val="28"/>
          <w:szCs w:val="28"/>
          <w:rFonts w:ascii="Times New Roman" w:hAnsi="Times New Roman"/>
        </w:rPr>
        <w:t xml:space="preserve">  Методическое обеспечение учебного процесса</w:t>
      </w:r>
    </w:p>
    <w:p>
      <w:pPr>
        <w:pStyle w:val="style28"/>
        <w:numPr>
          <w:ilvl w:val="0"/>
          <w:numId w:val="4"/>
        </w:numPr>
      </w:pPr>
      <w:r>
        <w:rPr>
          <w:sz w:val="28"/>
          <w:szCs w:val="28"/>
          <w:rFonts w:ascii="Times New Roman" w:hAnsi="Times New Roman"/>
        </w:rPr>
        <w:t>Методические рекомендации педагогическим работникам;</w:t>
      </w:r>
    </w:p>
    <w:p>
      <w:pPr>
        <w:pStyle w:val="style28"/>
        <w:numPr>
          <w:ilvl w:val="0"/>
          <w:numId w:val="4"/>
        </w:numPr>
      </w:pPr>
      <w:r>
        <w:rPr>
          <w:sz w:val="28"/>
          <w:szCs w:val="28"/>
          <w:rFonts w:ascii="Times New Roman" w:hAnsi="Times New Roman"/>
        </w:rPr>
        <w:t>Рекомендации по организации самостоятельной работы обучающихся;</w:t>
      </w:r>
    </w:p>
    <w:p>
      <w:pPr>
        <w:pStyle w:val="style0"/>
      </w:pPr>
      <w:r>
        <w:rPr>
          <w:sz w:val="28"/>
          <w:szCs w:val="28"/>
          <w:rFonts w:ascii="Times New Roman" w:hAnsi="Times New Roman"/>
          <w:lang w:val="en-US"/>
        </w:rPr>
        <w:t>VI</w:t>
      </w:r>
      <w:r>
        <w:rPr>
          <w:sz w:val="28"/>
          <w:szCs w:val="28"/>
          <w:rFonts w:ascii="Times New Roman" w:hAnsi="Times New Roman"/>
        </w:rPr>
        <w:t xml:space="preserve"> Списки рекомендуемой нотной и методической литературы, интернет ресурсов;</w:t>
      </w:r>
    </w:p>
    <w:p>
      <w:pPr>
        <w:pStyle w:val="style28"/>
        <w:numPr>
          <w:ilvl w:val="0"/>
          <w:numId w:val="5"/>
        </w:numPr>
      </w:pPr>
      <w:r>
        <w:rPr>
          <w:sz w:val="28"/>
          <w:szCs w:val="28"/>
          <w:rFonts w:ascii="Times New Roman" w:hAnsi="Times New Roman"/>
        </w:rPr>
        <w:t>Список рекомендуемой нотной литературы;</w:t>
      </w:r>
    </w:p>
    <w:p>
      <w:pPr>
        <w:pStyle w:val="style28"/>
        <w:numPr>
          <w:ilvl w:val="0"/>
          <w:numId w:val="5"/>
        </w:numPr>
      </w:pPr>
      <w:r>
        <w:rPr>
          <w:sz w:val="28"/>
          <w:szCs w:val="28"/>
          <w:rFonts w:ascii="Times New Roman" w:hAnsi="Times New Roman"/>
        </w:rPr>
        <w:t>Список рекомендуемой методической литературы;</w:t>
      </w:r>
    </w:p>
    <w:p>
      <w:pPr>
        <w:pStyle w:val="style28"/>
        <w:numPr>
          <w:ilvl w:val="0"/>
          <w:numId w:val="5"/>
        </w:numPr>
      </w:pPr>
      <w:r>
        <w:rPr>
          <w:sz w:val="28"/>
          <w:szCs w:val="28"/>
          <w:rFonts w:ascii="Times New Roman" w:hAnsi="Times New Roman"/>
        </w:rPr>
        <w:t>Список интернет ресурсов, рекомендуемых к работе;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  <w:lang w:val="en-US"/>
        </w:rPr>
        <w:t xml:space="preserve">I </w:t>
      </w:r>
      <w:r>
        <w:rPr>
          <w:sz w:val="36"/>
          <w:b/>
          <w:szCs w:val="36"/>
          <w:rFonts w:ascii="Times New Roman" w:hAnsi="Times New Roman"/>
        </w:rPr>
        <w:t>Пояснительная записка</w:t>
      </w:r>
    </w:p>
    <w:p>
      <w:pPr>
        <w:pStyle w:val="style28"/>
        <w:numPr>
          <w:ilvl w:val="0"/>
          <w:numId w:val="1"/>
        </w:numPr>
      </w:pPr>
      <w:r>
        <w:rPr>
          <w:sz w:val="28"/>
          <w:i/>
          <w:b/>
          <w:szCs w:val="28"/>
          <w:rFonts w:ascii="Times New Roman" w:hAnsi="Times New Roman"/>
        </w:rPr>
        <w:t>Характеристика учебного предмета, его место и роль в образовательном процессе</w:t>
      </w:r>
    </w:p>
    <w:p>
      <w:pPr>
        <w:pStyle w:val="style0"/>
        <w:jc w:val="both"/>
        <w:ind w:firstLine="567" w:left="0" w:right="0"/>
      </w:pPr>
      <w:r>
        <w:rPr>
          <w:sz w:val="28"/>
          <w:szCs w:val="28"/>
          <w:rFonts w:ascii="Times New Roman" w:hAnsi="Times New Roman"/>
        </w:rPr>
        <w:t>Программа учебного предмета «Ансамбль» составлена на основании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«духовые и ударные инструменты». Программа составлена в соответствии с «Методическими рекомендациями по определению содержания образования и разработке требований к уровню подготовки выпускника детской школы искусств», разработанные в соответствии с Концепцией художественного образования в России, утвержденной Министерством образования Российской Федерации и Министерством культуры Российской Федерации в 2001 году.</w:t>
      </w:r>
    </w:p>
    <w:p>
      <w:pPr>
        <w:pStyle w:val="style0"/>
        <w:jc w:val="both"/>
        <w:ind w:firstLine="567" w:left="0" w:right="0"/>
      </w:pPr>
      <w:r>
        <w:rPr>
          <w:sz w:val="28"/>
          <w:szCs w:val="28"/>
          <w:rFonts w:ascii="Times New Roman" w:hAnsi="Times New Roman"/>
        </w:rPr>
        <w:t>В системе общего профессионального музыкального образования значительное место отводится коллективным видам музицирования: ансамблю, оркестру. В последние годы увеличилось число различных по составу ансамблей: как учебных, так и профессиональных.</w:t>
      </w:r>
    </w:p>
    <w:p>
      <w:pPr>
        <w:pStyle w:val="style0"/>
        <w:jc w:val="both"/>
        <w:ind w:firstLine="567" w:left="0" w:right="0"/>
      </w:pPr>
      <w:r>
        <w:rPr>
          <w:sz w:val="28"/>
          <w:szCs w:val="28"/>
          <w:rFonts w:ascii="Times New Roman" w:hAnsi="Times New Roman"/>
        </w:rPr>
        <w:t>Навыки коллективного музицирования формируются и развиваются на основе и параллельно с уже  приобретенными знаниями в классе по специальности. Однородные и смешанные ансамбли духовых инструментов существуют в школьной учебной практике, так как не во всех школах имеются большие и разнообразные классы духовых инструментов для создания и работы духового оркестра.</w:t>
      </w:r>
    </w:p>
    <w:p>
      <w:pPr>
        <w:pStyle w:val="style0"/>
        <w:jc w:val="both"/>
        <w:ind w:firstLine="567" w:left="0" w:right="0"/>
      </w:pPr>
      <w:r>
        <w:rPr>
          <w:sz w:val="28"/>
          <w:szCs w:val="28"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>Успешный опыт однородных и смешанных ансамблей должен основываться на творческих контактах руководителя коллектива с преподавателями по специальности.</w:t>
      </w:r>
    </w:p>
    <w:p>
      <w:pPr>
        <w:pStyle w:val="style28"/>
        <w:numPr>
          <w:ilvl w:val="0"/>
          <w:numId w:val="1"/>
        </w:numPr>
        <w:jc w:val="both"/>
      </w:pPr>
      <w:r>
        <w:rPr>
          <w:sz w:val="28"/>
          <w:i/>
          <w:b/>
          <w:szCs w:val="28"/>
          <w:rFonts w:ascii="Times New Roman" w:hAnsi="Times New Roman"/>
        </w:rPr>
        <w:t>Срок реализации учебного предмета</w:t>
      </w:r>
    </w:p>
    <w:p>
      <w:pPr>
        <w:pStyle w:val="style0"/>
        <w:jc w:val="both"/>
        <w:ind w:hanging="0" w:left="360" w:right="0"/>
      </w:pPr>
      <w:r>
        <w:rPr>
          <w:sz w:val="28"/>
          <w:szCs w:val="28"/>
          <w:rFonts w:ascii="Times New Roman" w:hAnsi="Times New Roman"/>
        </w:rPr>
        <w:t>По образовательным программам с восьмилетним сроком обучения к занятиям в ансамбле привлекаются обучающиеся 4 – 8 классов.</w:t>
      </w:r>
    </w:p>
    <w:p>
      <w:pPr>
        <w:pStyle w:val="style0"/>
        <w:jc w:val="both"/>
        <w:ind w:hanging="0" w:left="360" w:right="0"/>
      </w:pPr>
      <w:r>
        <w:rPr>
          <w:sz w:val="28"/>
          <w:szCs w:val="28"/>
          <w:rFonts w:ascii="Times New Roman" w:hAnsi="Times New Roman"/>
        </w:rPr>
        <w:t>По образовательным программам с пятилетним сроком обучения к занятиям в ансамбле привлекаются обучающиеся 2 – 5 классов.</w:t>
      </w:r>
    </w:p>
    <w:p>
      <w:pPr>
        <w:pStyle w:val="style0"/>
        <w:jc w:val="both"/>
        <w:ind w:hanging="0" w:left="360" w:right="0"/>
      </w:pPr>
      <w:r>
        <w:rPr>
          <w:sz w:val="28"/>
          <w:szCs w:val="28"/>
          <w:rFonts w:ascii="Times New Roman" w:hAnsi="Times New Roman"/>
        </w:rPr>
        <w:t>Для обучающихся, планирующих поступление в образовательные организации, реализующие основные профессиональные образовательные программы в области музыкального искусства, срок освоения программы «Ансамбль»  может быть увеличен на 1 год.</w:t>
      </w:r>
    </w:p>
    <w:p>
      <w:pPr>
        <w:pStyle w:val="style0"/>
        <w:numPr>
          <w:ilvl w:val="0"/>
          <w:numId w:val="1"/>
        </w:numPr>
      </w:pPr>
      <w:r>
        <w:rPr>
          <w:sz w:val="28"/>
          <w:i/>
          <w:b/>
          <w:szCs w:val="28"/>
          <w:rFonts w:ascii="Times New Roman" w:hAnsi="Times New Roman"/>
        </w:rPr>
        <w:t>Объем учебного времени, предусмотренный учебным планом образовательной организации  на реализацию учебного предмета;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>Недельная нагрузка по предмету «ансамбль» 1 час в неделю согласно учебного плана образовательной организации.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При пяти летнем обучении – 132 часа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При шестилетнем обучении – 198 часов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При восьмилетнем обучении  -   165 часов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 xml:space="preserve">При девятилетнем обучении – 231 часа </w:t>
      </w:r>
    </w:p>
    <w:p>
      <w:pPr>
        <w:pStyle w:val="style0"/>
        <w:jc w:val="both"/>
        <w:ind w:hanging="0" w:left="360" w:right="0"/>
      </w:pPr>
      <w:r>
        <w:rPr>
          <w:sz w:val="28"/>
          <w:szCs w:val="28"/>
          <w:rFonts w:ascii="Times New Roman" w:hAnsi="Times New Roman"/>
        </w:rPr>
        <w:t>Самостоятельная  работа обучающегося определяется как 50 % от аудиторного времени, отводимого на учебный предмет соответственно: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При пяти летнем обучении – 66 часов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При шестилетнем обучении – 99 часов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>При восьмилетнем обучении – 82,5  часа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 xml:space="preserve">При девятилетнем обучении – 115,5  часа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образовательной организации.  Количество консультаций на весь период обучения соответственно: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При пяти летнем обучении – 624часа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При шестилетнем обучении – 30 часов 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>При восьмилетнем обучении – 23  часа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 xml:space="preserve">При девятилетнем обучении – 29  часов </w:t>
      </w:r>
    </w:p>
    <w:p>
      <w:pPr>
        <w:pStyle w:val="style28"/>
        <w:numPr>
          <w:ilvl w:val="0"/>
          <w:numId w:val="1"/>
        </w:numPr>
      </w:pPr>
      <w:r>
        <w:rPr>
          <w:sz w:val="28"/>
          <w:i/>
          <w:b/>
          <w:szCs w:val="28"/>
          <w:rFonts w:ascii="Times New Roman" w:hAnsi="Times New Roman"/>
        </w:rPr>
        <w:t>Форма проведения аудиторных учебных занятий;</w:t>
      </w:r>
    </w:p>
    <w:p>
      <w:pPr>
        <w:pStyle w:val="style28"/>
      </w:pPr>
      <w:r>
        <w:rPr>
          <w:sz w:val="28"/>
          <w:szCs w:val="28"/>
          <w:rFonts w:ascii="Times New Roman" w:hAnsi="Times New Roman"/>
        </w:rPr>
        <w:t>Рекомендуемая продолжительность урока 40 минут.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 xml:space="preserve">         </w:t>
      </w:r>
      <w:r>
        <w:rPr>
          <w:sz w:val="28"/>
          <w:szCs w:val="28"/>
          <w:rFonts w:ascii="Times New Roman" w:hAnsi="Times New Roman"/>
        </w:rPr>
        <w:t>Мелкогрупповая форма (от 2  до 10 человек) позволяет преподавателю лучше узнать ученика, его музыкальные возможности, способности, эмоционально – психологические особенности, совместимость с другими обучающимися в коллективной форме музицирования.</w:t>
      </w:r>
    </w:p>
    <w:p>
      <w:pPr>
        <w:pStyle w:val="style28"/>
        <w:numPr>
          <w:ilvl w:val="0"/>
          <w:numId w:val="1"/>
        </w:numPr>
      </w:pPr>
      <w:r>
        <w:rPr>
          <w:sz w:val="28"/>
          <w:i/>
          <w:b/>
          <w:szCs w:val="28"/>
          <w:rFonts w:ascii="Times New Roman" w:hAnsi="Times New Roman"/>
        </w:rPr>
        <w:t>Цель и задачи учебного предмета  «Ансамбль»</w:t>
      </w:r>
    </w:p>
    <w:p>
      <w:pPr>
        <w:pStyle w:val="style28"/>
      </w:pPr>
      <w:r>
        <w:rPr>
          <w:sz w:val="28"/>
          <w:i/>
          <w:b/>
          <w:szCs w:val="28"/>
          <w:rFonts w:ascii="Times New Roman" w:hAnsi="Times New Roman"/>
        </w:rPr>
        <w:t>Цель:</w:t>
      </w:r>
    </w:p>
    <w:p>
      <w:pPr>
        <w:pStyle w:val="style28"/>
      </w:pPr>
      <w:r>
        <w:rPr>
          <w:sz w:val="28"/>
          <w:szCs w:val="28"/>
          <w:rFonts w:ascii="Times New Roman" w:hAnsi="Times New Roman"/>
        </w:rPr>
        <w:t>Развитие музыкально – творческих способностей  обучаемого на основе приобретенных им знаний, умений и навыков в области ансамблевого исполнительства, а также выявление наиболее одаренных детей и подготовки их к дальнейшему поступлению в образовательные организации, реализующие образовательные программы среднего профессионального образования по профилю предмета.</w:t>
      </w:r>
    </w:p>
    <w:p>
      <w:pPr>
        <w:pStyle w:val="style28"/>
      </w:pPr>
      <w:r>
        <w:rPr>
          <w:sz w:val="28"/>
          <w:i/>
          <w:b/>
          <w:szCs w:val="28"/>
          <w:rFonts w:ascii="Times New Roman" w:hAnsi="Times New Roman"/>
        </w:rPr>
        <w:t>Задачи: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Формирование у обучающихся комплекса исполнительских навыков, необходимых для ансамблевого музицирования;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Расширение кругозора обучающегося путем ознакомления с ансамблевым репертуаром;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Расширение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 );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Развитие чувства ансамбля(чувства партнерства при игре в ансамбле), артистизма и музыкальности;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Обучение навыкам самостоятельной работы, а также навыкам чтения с листа в ансамбле;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Приобретение обучающимися опыта творческой деятельности и публичных выступлений в сфере ансамблевого музицирования;</w:t>
      </w:r>
    </w:p>
    <w:p>
      <w:pPr>
        <w:pStyle w:val="style28"/>
        <w:numPr>
          <w:ilvl w:val="0"/>
          <w:numId w:val="6"/>
        </w:numPr>
      </w:pPr>
      <w:r>
        <w:rPr>
          <w:sz w:val="28"/>
          <w:szCs w:val="28"/>
          <w:rFonts w:ascii="Times New Roman" w:hAnsi="Times New Roman"/>
        </w:rPr>
        <w:t>Формирование у наиболее одаренных выпускников профессионального  исполнительского комплекса ансамблиста.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 xml:space="preserve">            </w:t>
      </w:r>
      <w:r>
        <w:rPr>
          <w:sz w:val="28"/>
          <w:szCs w:val="28"/>
          <w:rFonts w:ascii="Times New Roman" w:hAnsi="Times New Roman"/>
        </w:rPr>
        <w:t>Учебный предмет «Ансамбль» неразрывно связан с учебным предметом «Специальность», а также со всеми предметами дополнительной предпрофессиональной общеобразовательной программы в области искусства «духовые и ударные инструменты».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 xml:space="preserve">          </w:t>
      </w:r>
      <w:r>
        <w:rPr>
          <w:sz w:val="28"/>
          <w:szCs w:val="28"/>
          <w:rFonts w:ascii="Times New Roman" w:hAnsi="Times New Roman"/>
        </w:rPr>
        <w:t>Учебный предмет «Ансамбль»  расширяет границы творческого общения инструменталистов – духовиков с учащимися других отделений образовательной организации при создании смешанных ансамблей различных составов.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 xml:space="preserve">          </w:t>
      </w:r>
      <w:r>
        <w:rPr>
          <w:sz w:val="28"/>
          <w:szCs w:val="28"/>
          <w:rFonts w:ascii="Times New Roman" w:hAnsi="Times New Roman"/>
        </w:rPr>
        <w:t>Занятие в ансамбле – накопление опыта коллективного музицирования, ступень для подготовки игры в оркестре.</w:t>
      </w:r>
    </w:p>
    <w:p>
      <w:pPr>
        <w:pStyle w:val="style28"/>
        <w:numPr>
          <w:ilvl w:val="0"/>
          <w:numId w:val="1"/>
        </w:numPr>
      </w:pPr>
      <w:r>
        <w:rPr>
          <w:sz w:val="28"/>
          <w:i/>
          <w:b/>
          <w:szCs w:val="28"/>
          <w:rFonts w:ascii="Times New Roman" w:hAnsi="Times New Roman"/>
        </w:rPr>
        <w:t>Обоснование структуры учебного предмета</w:t>
      </w:r>
    </w:p>
    <w:p>
      <w:pPr>
        <w:pStyle w:val="style28"/>
      </w:pPr>
      <w:r>
        <w:rPr>
          <w:sz w:val="28"/>
          <w:szCs w:val="28"/>
          <w:rFonts w:ascii="Times New Roman" w:hAnsi="Times New Roman"/>
        </w:rPr>
        <w:t>Обоснованием структуры программы являются ФГТ, отражающие все аспекты работы преподавателя с учеником.</w:t>
      </w:r>
    </w:p>
    <w:p>
      <w:pPr>
        <w:pStyle w:val="style28"/>
      </w:pPr>
      <w:r>
        <w:rPr>
          <w:sz w:val="28"/>
          <w:szCs w:val="28"/>
          <w:rFonts w:ascii="Times New Roman" w:hAnsi="Times New Roman"/>
        </w:rPr>
        <w:t>Программа содержит следующие разделы:</w:t>
      </w:r>
    </w:p>
    <w:p>
      <w:pPr>
        <w:pStyle w:val="style28"/>
        <w:numPr>
          <w:ilvl w:val="0"/>
          <w:numId w:val="7"/>
        </w:numPr>
      </w:pPr>
      <w:r>
        <w:rPr>
          <w:sz w:val="28"/>
          <w:szCs w:val="28"/>
          <w:rFonts w:ascii="Times New Roman" w:hAnsi="Times New Roman"/>
        </w:rPr>
        <w:t>Сведения о затратах учебного времени, предусмотренного на освоение предмета;</w:t>
      </w:r>
    </w:p>
    <w:p>
      <w:pPr>
        <w:pStyle w:val="style28"/>
        <w:numPr>
          <w:ilvl w:val="0"/>
          <w:numId w:val="7"/>
        </w:numPr>
      </w:pPr>
      <w:r>
        <w:rPr>
          <w:sz w:val="28"/>
          <w:szCs w:val="28"/>
          <w:rFonts w:ascii="Times New Roman" w:hAnsi="Times New Roman"/>
        </w:rPr>
        <w:t>Описание дидактических единиц учебного предмета;</w:t>
      </w:r>
    </w:p>
    <w:p>
      <w:pPr>
        <w:pStyle w:val="style28"/>
        <w:numPr>
          <w:ilvl w:val="0"/>
          <w:numId w:val="7"/>
        </w:numPr>
      </w:pPr>
      <w:r>
        <w:rPr>
          <w:sz w:val="28"/>
          <w:szCs w:val="28"/>
          <w:rFonts w:ascii="Times New Roman" w:hAnsi="Times New Roman"/>
        </w:rPr>
        <w:t>Требования к уровню подготовки обучающихся;</w:t>
      </w:r>
    </w:p>
    <w:p>
      <w:pPr>
        <w:pStyle w:val="style28"/>
        <w:numPr>
          <w:ilvl w:val="0"/>
          <w:numId w:val="7"/>
        </w:numPr>
      </w:pPr>
      <w:r>
        <w:rPr>
          <w:sz w:val="28"/>
          <w:szCs w:val="28"/>
          <w:rFonts w:ascii="Times New Roman" w:hAnsi="Times New Roman"/>
        </w:rPr>
        <w:t>Формы и методы контроля, система оценок;</w:t>
      </w:r>
    </w:p>
    <w:p>
      <w:pPr>
        <w:pStyle w:val="style28"/>
        <w:numPr>
          <w:ilvl w:val="0"/>
          <w:numId w:val="7"/>
        </w:numPr>
      </w:pPr>
      <w:r>
        <w:rPr>
          <w:sz w:val="28"/>
          <w:szCs w:val="28"/>
          <w:rFonts w:ascii="Times New Roman" w:hAnsi="Times New Roman"/>
        </w:rPr>
        <w:t>Методическое обеспечение учебного процесса.</w:t>
      </w:r>
    </w:p>
    <w:p>
      <w:pPr>
        <w:pStyle w:val="style28"/>
        <w:numPr>
          <w:ilvl w:val="0"/>
          <w:numId w:val="1"/>
        </w:numPr>
      </w:pPr>
      <w:r>
        <w:rPr>
          <w:sz w:val="28"/>
          <w:i/>
          <w:b/>
          <w:szCs w:val="28"/>
          <w:rFonts w:ascii="Times New Roman" w:hAnsi="Times New Roman"/>
        </w:rPr>
        <w:t>Методы обучения</w:t>
      </w:r>
    </w:p>
    <w:p>
      <w:pPr>
        <w:pStyle w:val="style28"/>
      </w:pPr>
      <w:r>
        <w:rPr>
          <w:sz w:val="28"/>
          <w:szCs w:val="28"/>
          <w:rFonts w:ascii="Times New Roman" w:hAnsi="Times New Roman"/>
        </w:rPr>
        <w:t>Выбор методов обучения по предмету «Ансамбль» зависит от:</w:t>
      </w:r>
    </w:p>
    <w:p>
      <w:pPr>
        <w:pStyle w:val="style28"/>
        <w:numPr>
          <w:ilvl w:val="0"/>
          <w:numId w:val="22"/>
        </w:numPr>
      </w:pPr>
      <w:r>
        <w:rPr>
          <w:sz w:val="28"/>
          <w:szCs w:val="28"/>
          <w:rFonts w:ascii="Times New Roman" w:hAnsi="Times New Roman"/>
        </w:rPr>
        <w:t>Возраста обучающихся;</w:t>
      </w:r>
    </w:p>
    <w:p>
      <w:pPr>
        <w:pStyle w:val="style28"/>
        <w:numPr>
          <w:ilvl w:val="0"/>
          <w:numId w:val="22"/>
        </w:numPr>
      </w:pPr>
      <w:r>
        <w:rPr>
          <w:sz w:val="28"/>
          <w:szCs w:val="28"/>
          <w:rFonts w:ascii="Times New Roman" w:hAnsi="Times New Roman"/>
        </w:rPr>
        <w:t>Их индивидуальных способностей;</w:t>
      </w:r>
    </w:p>
    <w:p>
      <w:pPr>
        <w:pStyle w:val="style28"/>
        <w:numPr>
          <w:ilvl w:val="0"/>
          <w:numId w:val="22"/>
        </w:numPr>
      </w:pPr>
      <w:r>
        <w:rPr>
          <w:sz w:val="28"/>
          <w:szCs w:val="28"/>
          <w:rFonts w:ascii="Times New Roman" w:hAnsi="Times New Roman"/>
        </w:rPr>
        <w:t>От состава ансамбля;</w:t>
      </w:r>
    </w:p>
    <w:p>
      <w:pPr>
        <w:pStyle w:val="style28"/>
        <w:numPr>
          <w:ilvl w:val="0"/>
          <w:numId w:val="22"/>
        </w:numPr>
      </w:pPr>
      <w:r>
        <w:rPr>
          <w:sz w:val="28"/>
          <w:szCs w:val="28"/>
          <w:rFonts w:ascii="Times New Roman" w:hAnsi="Times New Roman"/>
        </w:rPr>
        <w:t>От количества участников ансамбля.</w:t>
      </w:r>
    </w:p>
    <w:p>
      <w:pPr>
        <w:pStyle w:val="style28"/>
      </w:pPr>
      <w:r>
        <w:rPr>
          <w:sz w:val="28"/>
          <w:szCs w:val="28"/>
          <w:rFonts w:ascii="Times New Roman" w:hAnsi="Times New Roman"/>
        </w:rPr>
        <w:t>Для достижения поставленной цели и реализации задач предмета используются следующие методы обучения:</w:t>
      </w:r>
    </w:p>
    <w:p>
      <w:pPr>
        <w:pStyle w:val="style28"/>
        <w:numPr>
          <w:ilvl w:val="0"/>
          <w:numId w:val="8"/>
        </w:numPr>
      </w:pPr>
      <w:r>
        <w:rPr>
          <w:sz w:val="28"/>
          <w:szCs w:val="28"/>
          <w:rFonts w:ascii="Times New Roman" w:hAnsi="Times New Roman"/>
        </w:rPr>
        <w:t>Словесный (рассказ, беседа, объяснение);</w:t>
      </w:r>
    </w:p>
    <w:p>
      <w:pPr>
        <w:pStyle w:val="style28"/>
        <w:numPr>
          <w:ilvl w:val="0"/>
          <w:numId w:val="8"/>
        </w:numPr>
      </w:pPr>
      <w:r>
        <w:rPr>
          <w:sz w:val="28"/>
          <w:szCs w:val="28"/>
          <w:rFonts w:ascii="Times New Roman" w:hAnsi="Times New Roman"/>
        </w:rPr>
        <w:t>Наглядный (наблюдение, демонстрация);</w:t>
      </w:r>
    </w:p>
    <w:p>
      <w:pPr>
        <w:pStyle w:val="style28"/>
        <w:numPr>
          <w:ilvl w:val="0"/>
          <w:numId w:val="8"/>
        </w:numPr>
      </w:pPr>
      <w:r>
        <w:rPr>
          <w:sz w:val="28"/>
          <w:szCs w:val="28"/>
          <w:rFonts w:ascii="Times New Roman" w:hAnsi="Times New Roman"/>
        </w:rPr>
        <w:t>Частично – поисковый (ученики участвуют  в поисках решения поставленной задачи).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 xml:space="preserve">         </w:t>
      </w:r>
      <w:r>
        <w:rPr>
          <w:sz w:val="28"/>
          <w:szCs w:val="28"/>
          <w:rFonts w:ascii="Times New Roman" w:hAnsi="Times New Roman"/>
        </w:rPr>
        <w:t>Предложенные методы работы с ансамблем духовых и ударных инструментов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духовых и ударных инструментах.</w:t>
      </w:r>
    </w:p>
    <w:p>
      <w:pPr>
        <w:pStyle w:val="style0"/>
        <w:numPr>
          <w:ilvl w:val="0"/>
          <w:numId w:val="1"/>
        </w:numPr>
      </w:pPr>
      <w:r>
        <w:rPr>
          <w:sz w:val="28"/>
          <w:i/>
          <w:b/>
          <w:szCs w:val="28"/>
          <w:rFonts w:ascii="Times New Roman" w:hAnsi="Times New Roman"/>
        </w:rPr>
        <w:t>Описание материально – технических условий реализации учебного предмета</w:t>
      </w:r>
    </w:p>
    <w:p>
      <w:pPr>
        <w:pStyle w:val="style0"/>
        <w:jc w:val="both"/>
        <w:ind w:hanging="0" w:left="360" w:right="0"/>
        <w:spacing w:after="0" w:before="0" w:line="100" w:lineRule="atLeast"/>
      </w:pPr>
      <w:r>
        <w:rPr>
          <w:sz w:val="28"/>
          <w:szCs w:val="28"/>
          <w:rFonts w:ascii="Times New Roman" w:hAnsi="Times New Roman"/>
          <w:lang w:eastAsia="ru-RU"/>
        </w:rPr>
        <w:t>Материально – техническая база образовательной организации должна соответствовать санитарным и противопожарным нормам, нормам охраны труда.</w:t>
      </w:r>
    </w:p>
    <w:p>
      <w:pPr>
        <w:pStyle w:val="style0"/>
        <w:jc w:val="both"/>
        <w:widowControl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  <w:lang w:eastAsia="ru-RU"/>
        </w:rPr>
        <w:t xml:space="preserve">          </w:t>
      </w:r>
      <w:r>
        <w:rPr>
          <w:sz w:val="28"/>
          <w:szCs w:val="28"/>
          <w:rFonts w:ascii="Times New Roman" w:hAnsi="Times New Roman"/>
        </w:rPr>
        <w:t>Для реализации программы «Ансамбль»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>
      <w:pPr>
        <w:pStyle w:val="style28"/>
        <w:numPr>
          <w:ilvl w:val="0"/>
          <w:numId w:val="1"/>
        </w:numPr>
        <w:jc w:val="both"/>
        <w:widowControl/>
        <w:spacing w:line="100" w:lineRule="atLeast"/>
      </w:pPr>
      <w:r>
        <w:rPr>
          <w:sz w:val="28"/>
          <w:szCs w:val="28"/>
          <w:rFonts w:ascii="Times New Roman" w:hAnsi="Times New Roman"/>
        </w:rPr>
        <w:t>концертный зал с роялем или пианино, пультами и звукотехническим оборудованием,</w:t>
      </w:r>
    </w:p>
    <w:p>
      <w:pPr>
        <w:pStyle w:val="style28"/>
        <w:numPr>
          <w:ilvl w:val="0"/>
          <w:numId w:val="1"/>
        </w:numPr>
        <w:jc w:val="both"/>
        <w:widowControl/>
        <w:spacing w:line="100" w:lineRule="atLeast"/>
      </w:pPr>
      <w:r>
        <w:rPr>
          <w:sz w:val="28"/>
          <w:szCs w:val="28"/>
          <w:rFonts w:ascii="Times New Roman" w:hAnsi="Times New Roman"/>
        </w:rPr>
        <w:t>учебные аудитории для занятий по учебному предмету «Ансамбль» с пультами, пианино или роялем.</w:t>
      </w:r>
    </w:p>
    <w:p>
      <w:pPr>
        <w:pStyle w:val="style0"/>
        <w:jc w:val="both"/>
        <w:tabs>
          <w:tab w:leader="none" w:pos="1440" w:val="left"/>
        </w:tabs>
        <w:spacing w:after="0" w:before="0" w:line="100" w:lineRule="atLeast"/>
      </w:pPr>
      <w:r>
        <w:rPr>
          <w:sz w:val="28"/>
          <w:szCs w:val="28"/>
          <w:rFonts w:ascii="Times New Roman" w:hAnsi="Times New Roman"/>
          <w:lang w:eastAsia="ru-RU"/>
        </w:rPr>
        <w:t>Технические средства: метроном, наличие аудио и видеозаписей, магнитофон.</w:t>
      </w:r>
      <w:r>
        <w:rPr>
          <w:sz w:val="28"/>
          <w:szCs w:val="28"/>
          <w:rFonts w:ascii="Times New Roman" w:hAnsi="Times New Roman"/>
        </w:rPr>
        <w:t xml:space="preserve"> Образовательное учреждение должно иметь комплект духовых и ударных инструментов для детей разного   возраста. </w:t>
      </w:r>
    </w:p>
    <w:p>
      <w:pPr>
        <w:pStyle w:val="style0"/>
        <w:jc w:val="both"/>
        <w:widowControl/>
        <w:spacing w:line="100" w:lineRule="atLeast"/>
      </w:pPr>
      <w:r>
        <w:rPr>
          <w:sz w:val="28"/>
          <w:szCs w:val="28"/>
          <w:rFonts w:ascii="Times New Roman" w:hAnsi="Times New Roman"/>
        </w:rPr>
        <w:t>Учебные аудитории должны иметь звукоизоляцию.</w:t>
      </w:r>
    </w:p>
    <w:p>
      <w:pPr>
        <w:pStyle w:val="style0"/>
        <w:jc w:val="both"/>
        <w:widowControl/>
        <w:spacing w:line="100" w:lineRule="atLeast"/>
      </w:pPr>
      <w:r>
        <w:rPr>
          <w:sz w:val="28"/>
          <w:szCs w:val="28"/>
          <w:rFonts w:ascii="Times New Roman" w:hAnsi="Times New Roman"/>
        </w:rPr>
        <w:t>В образовательном  учреждении  создаются условия для содержания, своевременного обслуживания и ремонта   музыкальных инструментов.</w:t>
      </w:r>
    </w:p>
    <w:p>
      <w:pPr>
        <w:pStyle w:val="style0"/>
        <w:jc w:val="both"/>
        <w:widowControl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</w:pPr>
      <w:r>
        <w:rPr>
          <w:sz w:val="36"/>
          <w:b/>
          <w:szCs w:val="36"/>
          <w:rFonts w:ascii="Times New Roman" w:hAnsi="Times New Roman"/>
          <w:lang w:val="en-US"/>
        </w:rPr>
        <w:t>II</w:t>
      </w:r>
      <w:r>
        <w:rPr>
          <w:sz w:val="36"/>
          <w:b/>
          <w:szCs w:val="36"/>
          <w:rFonts w:ascii="Times New Roman" w:hAnsi="Times New Roman"/>
        </w:rPr>
        <w:t xml:space="preserve"> Содержание учебного предмета</w:t>
      </w:r>
    </w:p>
    <w:p>
      <w:pPr>
        <w:pStyle w:val="style0"/>
        <w:numPr>
          <w:ilvl w:val="0"/>
          <w:numId w:val="2"/>
        </w:numPr>
      </w:pPr>
      <w:r>
        <w:rPr>
          <w:sz w:val="28"/>
          <w:i/>
          <w:b/>
          <w:szCs w:val="28"/>
          <w:rFonts w:ascii="Times New Roman" w:hAnsi="Times New Roman"/>
        </w:rPr>
        <w:t xml:space="preserve">Сведения о затратах учебного времени, </w:t>
      </w:r>
      <w:r>
        <w:rPr>
          <w:sz w:val="28"/>
          <w:szCs w:val="28"/>
          <w:rFonts w:ascii="Times New Roman" w:hAnsi="Times New Roman"/>
        </w:rPr>
        <w:t>предусмотренного на освоение учебного предмета «Специальность(труба)», на максимальную, самостоятельную нагрузку обучающихся и аудиторные занятия:</w:t>
      </w:r>
    </w:p>
    <w:tbl>
      <w:tblPr>
        <w:tblBorders/>
        <w:jc w:val="left"/>
        <w:tblInd w:type="dxa" w:w="-426"/>
      </w:tblPr>
      <w:tblGrid>
        <w:gridCol w:w="4254"/>
        <w:gridCol w:w="4255"/>
      </w:tblGrid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Распределение по годам обучения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Класс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</w:t>
            </w:r>
          </w:p>
        </w:tc>
        <w:tc>
          <w:tcPr>
            <w:tcBorders/>
            <w:shd w:fill="auto"/>
            <w:tcW w:type="dxa" w:w="694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5</w:t>
            </w:r>
          </w:p>
        </w:tc>
        <w:tc>
          <w:tcPr>
            <w:tcBorders/>
            <w:shd w:fill="auto"/>
            <w:tcW w:type="dxa" w:w="822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6</w:t>
            </w:r>
          </w:p>
        </w:tc>
        <w:tc>
          <w:tcPr>
            <w:tcBorders/>
            <w:shd w:fill="auto"/>
            <w:tcW w:type="dxa" w:w="94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7</w:t>
            </w:r>
          </w:p>
        </w:tc>
        <w:tc>
          <w:tcPr>
            <w:tcBorders/>
            <w:gridSpan w:val="2"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8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Количество учебных недель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694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822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94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gridSpan w:val="2"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Количество часов на аудиторные занятия в неделю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694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822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94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gridSpan w:val="2"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количество часов на аудиторные занятия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165</w:t>
            </w:r>
          </w:p>
        </w:tc>
        <w:tc>
          <w:tcPr>
            <w:tcBorders/>
            <w:gridSpan w:val="6"/>
            <w:shd w:fill="auto"/>
            <w:tcW w:type="dxa" w:w="48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66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231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Количество часов на самостоятельные занятия в неделю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694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822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gridSpan w:val="2"/>
            <w:shd w:fill="auto"/>
            <w:tcW w:type="dxa" w:w="96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количество на самостоятельные занятия по годам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694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822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gridSpan w:val="2"/>
            <w:shd w:fill="auto"/>
            <w:tcW w:type="dxa" w:w="96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количество часов на самостоятельные занятия на весь период обучения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82,5</w:t>
            </w:r>
          </w:p>
        </w:tc>
        <w:tc>
          <w:tcPr>
            <w:tcBorders/>
            <w:gridSpan w:val="6"/>
            <w:shd w:fill="auto"/>
            <w:tcW w:type="dxa" w:w="48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115,5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Максимальное количество часов занятий в неделю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694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822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gridSpan w:val="2"/>
            <w:shd w:fill="auto"/>
            <w:tcW w:type="dxa" w:w="96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максимальное количество часов по годам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694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822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gridSpan w:val="2"/>
            <w:shd w:fill="auto"/>
            <w:tcW w:type="dxa" w:w="96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максимальное количество часов на весь период обучения</w:t>
            </w:r>
          </w:p>
        </w:tc>
        <w:tc>
          <w:tcPr>
            <w:tcBorders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247,5</w:t>
            </w:r>
          </w:p>
        </w:tc>
        <w:tc>
          <w:tcPr>
            <w:tcBorders/>
            <w:gridSpan w:val="6"/>
            <w:shd w:fill="auto"/>
            <w:tcW w:type="dxa" w:w="48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346,5</w:t>
            </w:r>
          </w:p>
        </w:tc>
      </w:tr>
    </w:tbl>
    <w:p>
      <w:pPr>
        <w:pStyle w:val="style0"/>
        <w:ind w:hanging="0" w:left="720" w:right="0"/>
      </w:pPr>
      <w:r>
        <w:rPr>
          <w:sz w:val="28"/>
          <w:szCs w:val="28"/>
          <w:rFonts w:ascii="Times New Roman" w:hAnsi="Times New Roman"/>
        </w:rPr>
      </w:r>
    </w:p>
    <w:tbl>
      <w:tblPr>
        <w:tblBorders/>
        <w:jc w:val="left"/>
        <w:tblInd w:type="dxa" w:w="-426"/>
      </w:tblPr>
      <w:tblGrid>
        <w:gridCol w:w="4254"/>
        <w:gridCol w:w="4255"/>
      </w:tblGrid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Распределение по годам обучения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Класс</w:t>
            </w:r>
          </w:p>
        </w:tc>
        <w:tc>
          <w:tcPr>
            <w:tcBorders/>
            <w:shd w:fill="auto"/>
            <w:tcW w:type="dxa" w:w="56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</w:t>
            </w:r>
          </w:p>
        </w:tc>
        <w:tc>
          <w:tcPr>
            <w:tcBorders/>
            <w:gridSpan w:val="2"/>
            <w:shd w:fill="auto"/>
            <w:tcW w:type="dxa" w:w="69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</w:t>
            </w:r>
          </w:p>
        </w:tc>
        <w:tc>
          <w:tcPr>
            <w:tcBorders/>
            <w:shd w:fill="auto"/>
            <w:tcW w:type="dxa" w:w="83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</w:t>
            </w:r>
          </w:p>
        </w:tc>
        <w:tc>
          <w:tcPr>
            <w:tcBorders/>
            <w:shd w:fill="auto"/>
            <w:tcW w:type="dxa" w:w="992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Количество учебных недель</w:t>
            </w:r>
          </w:p>
        </w:tc>
        <w:tc>
          <w:tcPr>
            <w:tcBorders/>
            <w:shd w:fill="auto"/>
            <w:tcW w:type="dxa" w:w="56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gridSpan w:val="2"/>
            <w:shd w:fill="auto"/>
            <w:tcW w:type="dxa" w:w="69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83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992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Количество часов на аудиторные занятия в неделю</w:t>
            </w:r>
          </w:p>
        </w:tc>
        <w:tc>
          <w:tcPr>
            <w:tcBorders/>
            <w:shd w:fill="auto"/>
            <w:tcW w:type="dxa" w:w="56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gridSpan w:val="2"/>
            <w:shd w:fill="auto"/>
            <w:tcW w:type="dxa" w:w="69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83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992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количество часов на аудиторные занятия</w:t>
            </w:r>
          </w:p>
        </w:tc>
        <w:tc>
          <w:tcPr>
            <w:tcBorders/>
            <w:gridSpan w:val="5"/>
            <w:shd w:fill="auto"/>
            <w:tcW w:type="dxa" w:w="992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132</w:t>
            </w:r>
          </w:p>
        </w:tc>
        <w:tc>
          <w:tcPr>
            <w:tcBorders/>
            <w:shd w:fill="auto"/>
            <w:tcW w:type="dxa" w:w="992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66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198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Количество часов на самостоятельные занятия в неделю</w:t>
            </w:r>
          </w:p>
        </w:tc>
        <w:tc>
          <w:tcPr>
            <w:tcBorders/>
            <w:gridSpan w:val="2"/>
            <w:shd w:fill="auto"/>
            <w:tcW w:type="dxa" w:w="58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69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83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992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количество на самостоятельные занятия по годам</w:t>
            </w:r>
          </w:p>
        </w:tc>
        <w:tc>
          <w:tcPr>
            <w:tcBorders/>
            <w:gridSpan w:val="2"/>
            <w:shd w:fill="auto"/>
            <w:tcW w:type="dxa" w:w="58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69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83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992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количество часов на самостоятельные занятия на весь период обучения</w:t>
            </w:r>
          </w:p>
        </w:tc>
        <w:tc>
          <w:tcPr>
            <w:tcBorders/>
            <w:gridSpan w:val="5"/>
            <w:shd w:fill="auto"/>
            <w:tcW w:type="dxa" w:w="992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99</w:t>
            </w:r>
          </w:p>
        </w:tc>
        <w:tc>
          <w:tcPr>
            <w:tcBorders/>
            <w:shd w:fill="auto"/>
            <w:tcW w:type="dxa" w:w="992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132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Максимальное количество часов занятий в неделю</w:t>
            </w:r>
          </w:p>
        </w:tc>
        <w:tc>
          <w:tcPr>
            <w:tcBorders/>
            <w:gridSpan w:val="2"/>
            <w:shd w:fill="auto"/>
            <w:tcW w:type="dxa" w:w="58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69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83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992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максимальное количество часов по годам</w:t>
            </w:r>
          </w:p>
        </w:tc>
        <w:tc>
          <w:tcPr>
            <w:tcBorders/>
            <w:gridSpan w:val="2"/>
            <w:shd w:fill="auto"/>
            <w:tcW w:type="dxa" w:w="58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694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83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992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49,5</w:t>
            </w:r>
          </w:p>
        </w:tc>
        <w:tc>
          <w:tcPr>
            <w:tcBorders/>
            <w:shd w:fill="auto"/>
            <w:tcW w:type="dxa" w:w="113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Общее максимальное количество часов на весь период обучения</w:t>
            </w:r>
          </w:p>
        </w:tc>
        <w:tc>
          <w:tcPr>
            <w:tcBorders/>
            <w:gridSpan w:val="5"/>
            <w:shd w:fill="auto"/>
            <w:tcW w:type="dxa" w:w="992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198</w:t>
            </w:r>
          </w:p>
        </w:tc>
        <w:tc>
          <w:tcPr>
            <w:tcBorders/>
            <w:shd w:fill="auto"/>
            <w:tcW w:type="dxa" w:w="992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25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gridSpan w:val="6"/>
            <w:shd w:fill="auto"/>
            <w:tcW w:type="dxa" w:w="425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297</w:t>
            </w:r>
          </w:p>
        </w:tc>
      </w:tr>
    </w:tbl>
    <w:p>
      <w:pPr>
        <w:pStyle w:val="style0"/>
      </w:pPr>
      <w:r>
        <w:rPr>
          <w:sz w:val="28"/>
          <w:szCs w:val="28"/>
          <w:rFonts w:ascii="Times New Roman" w:hAnsi="Times New Roman"/>
        </w:rPr>
      </w:r>
    </w:p>
    <w:p>
      <w:pPr>
        <w:pStyle w:val="style28"/>
        <w:spacing w:line="100" w:lineRule="atLeast"/>
      </w:pPr>
      <w:r>
        <w:rPr>
          <w:sz w:val="28"/>
          <w:szCs w:val="28"/>
          <w:rFonts w:ascii="Times New Roman" w:hAnsi="Times New Roman"/>
        </w:rPr>
        <w:t>Виды внеаудиторной работы:</w:t>
      </w:r>
    </w:p>
    <w:p>
      <w:pPr>
        <w:pStyle w:val="style28"/>
        <w:numPr>
          <w:ilvl w:val="0"/>
          <w:numId w:val="9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Самостоятельные занятия по подготовке учебной программы;</w:t>
      </w:r>
    </w:p>
    <w:p>
      <w:pPr>
        <w:pStyle w:val="style28"/>
        <w:numPr>
          <w:ilvl w:val="0"/>
          <w:numId w:val="9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Подготовка к контрольным урокам, зачетам, экзаменам;</w:t>
      </w:r>
    </w:p>
    <w:p>
      <w:pPr>
        <w:pStyle w:val="style28"/>
        <w:numPr>
          <w:ilvl w:val="0"/>
          <w:numId w:val="9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Подготовка к концертным, конкурсным выступлениям;</w:t>
      </w:r>
    </w:p>
    <w:p>
      <w:pPr>
        <w:pStyle w:val="style28"/>
        <w:numPr>
          <w:ilvl w:val="0"/>
          <w:numId w:val="9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Посещение учреждений культуры (филармоний, театров, концертных залов, музеев и др.)</w:t>
      </w:r>
    </w:p>
    <w:p>
      <w:pPr>
        <w:pStyle w:val="style28"/>
        <w:numPr>
          <w:ilvl w:val="0"/>
          <w:numId w:val="9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Участие обучающихся в творческих мероприятиях и культурно – просветительской деятельности образовательного учреждения и др.</w:t>
      </w:r>
    </w:p>
    <w:p>
      <w:pPr>
        <w:pStyle w:val="style30"/>
        <w:jc w:val="center"/>
      </w:pPr>
      <w:r>
        <w:rPr>
          <w:sz w:val="28"/>
          <w:szCs w:val="28"/>
          <w:rFonts w:ascii="Times New Roman" w:hAnsi="Times New Roman"/>
        </w:rPr>
        <w:t>СОДЕРЖАНИЕ УЧЕБНОЙ ДИСЦИПЛИНЫ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Ансамбль – один из важнейших видов коллективного исполнительства, формирующий профессиональные качества будущего исполнителя.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Класс ансамбля является профилирующей дисциплиной, в процессе изучения которой обучающимися используются навыки и знания, приобретённые ими по специальному инструменту, чтению с листа, музыкально-теоретическим дисциплинам. 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В процессе работы в классе ансамбля у обучающихся воспитывается осмысленное отношение к исполнению своей партии как части целого, и понимание её роли на каждом этапе раскрытия музыкального содержания, т.е. тех навыков и качеств, которые и определяют сущность ансамблевого музицирования.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Под ансамблевыми навыками мы понимаем умение исполнителя: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слышать ансамбль в целом и свою партию как часть ансамбля;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достигать характерной тембровой, динамической, интонационной согласованности своей партии с другими голосами ансамбля;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добиваться гибкости исполнения, которая связана с фразировкой и мгновенным переключением от мелодии к сопровождению и наоборот.</w:t>
      </w:r>
    </w:p>
    <w:p>
      <w:pPr>
        <w:pStyle w:val="style0"/>
        <w:jc w:val="both"/>
        <w:ind w:hanging="0" w:left="720" w:right="0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Все эти навыки формируются в процессе многолетней кропотливой работы обучающихся в составе ансамбля.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В ансамбле очень важно умение передавать мелодию от одного голоса к другому. Так, часто из-за небрежного или невнимательного отношения к этому моменту в местах относительного окончания мелодии в одном голосе и начала её в другом образуются разрывы, что нарушает мелодическую линию и её развитие. Поэтому необходимо, чтобы последний звук проводимого инструментом отрезка мелодии (темы) выдерживался полностью и не затухал прежде, чем продолжение мелодии не будет подхвачено другим голосом.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При исполнении в ансамбле вопросы интонирования приобретают новый аспект. При сохранении всех основных принципов интонирования мелодии («по горизонтали»), в ансамбле важнейшее значение приобретает умение интонировать и «по вертикали». В ансамбле на первый план выступает умение музыканта согласовывать свой голос со строем других голосов. Поэтому формальный подход к вопросам интонирования в ансамбле недопустим.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В воспитании действенного слухового контроля могут помочь некоторые правила интонирования в ансамбле: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 xml:space="preserve">в произведениях гомофонного склада определяющим качество интонации является умение участников ансамбля выстраивать звучание своих инструментов прежде всего «по вертикали». Ориентиром в этом случае должен быть солирующий голос или бас, под который и подстраиваются остальные участники ансамбля; 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в полифонической музыке определяющим качество строя является умение исполнителя интонировать, прежде всего «по горизонтали»; точная имитация, прежде всего в интонационном плане, будет весьма уместной;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 xml:space="preserve">при исполнении аккордовых звуков неустойчивые ступени лада </w:t>
      </w:r>
      <w:r>
        <w:rPr>
          <w:sz w:val="28"/>
          <w:szCs w:val="28"/>
          <w:rFonts w:ascii="Times New Roman" w:hAnsi="Times New Roman"/>
          <w:lang w:val="en-US"/>
        </w:rPr>
        <w:t>II</w:t>
      </w:r>
      <w:r>
        <w:rPr>
          <w:sz w:val="28"/>
          <w:szCs w:val="28"/>
          <w:rFonts w:ascii="Times New Roman" w:hAnsi="Times New Roman"/>
        </w:rPr>
        <w:t xml:space="preserve">, </w:t>
      </w:r>
      <w:r>
        <w:rPr>
          <w:sz w:val="28"/>
          <w:szCs w:val="28"/>
          <w:rFonts w:ascii="Times New Roman" w:hAnsi="Times New Roman"/>
          <w:lang w:val="en-US"/>
        </w:rPr>
        <w:t>IV</w:t>
      </w:r>
      <w:r>
        <w:rPr>
          <w:sz w:val="28"/>
          <w:szCs w:val="28"/>
          <w:rFonts w:ascii="Times New Roman" w:hAnsi="Times New Roman"/>
        </w:rPr>
        <w:t xml:space="preserve">, </w:t>
      </w:r>
      <w:r>
        <w:rPr>
          <w:sz w:val="28"/>
          <w:szCs w:val="28"/>
          <w:rFonts w:ascii="Times New Roman" w:hAnsi="Times New Roman"/>
          <w:lang w:val="en-US"/>
        </w:rPr>
        <w:t>VI</w:t>
      </w:r>
      <w:r>
        <w:rPr>
          <w:sz w:val="28"/>
          <w:szCs w:val="28"/>
          <w:rFonts w:ascii="Times New Roman" w:hAnsi="Times New Roman"/>
        </w:rPr>
        <w:t xml:space="preserve">, и в особенности </w:t>
      </w:r>
      <w:r>
        <w:rPr>
          <w:sz w:val="28"/>
          <w:szCs w:val="28"/>
          <w:rFonts w:ascii="Times New Roman" w:hAnsi="Times New Roman"/>
          <w:lang w:val="en-US"/>
        </w:rPr>
        <w:t>VII</w:t>
      </w:r>
      <w:r>
        <w:rPr>
          <w:sz w:val="28"/>
          <w:szCs w:val="28"/>
          <w:rFonts w:ascii="Times New Roman" w:hAnsi="Times New Roman"/>
        </w:rPr>
        <w:t xml:space="preserve">, стремятся к устойчивым – </w:t>
      </w:r>
      <w:r>
        <w:rPr>
          <w:sz w:val="28"/>
          <w:szCs w:val="28"/>
          <w:rFonts w:ascii="Times New Roman" w:hAnsi="Times New Roman"/>
          <w:lang w:val="en-US"/>
        </w:rPr>
        <w:t>I</w:t>
      </w:r>
      <w:r>
        <w:rPr>
          <w:sz w:val="28"/>
          <w:szCs w:val="28"/>
          <w:rFonts w:ascii="Times New Roman" w:hAnsi="Times New Roman"/>
        </w:rPr>
        <w:t xml:space="preserve"> – </w:t>
      </w:r>
      <w:r>
        <w:rPr>
          <w:sz w:val="28"/>
          <w:szCs w:val="28"/>
          <w:rFonts w:ascii="Times New Roman" w:hAnsi="Times New Roman"/>
          <w:lang w:val="en-US"/>
        </w:rPr>
        <w:t>III</w:t>
      </w:r>
      <w:r>
        <w:rPr>
          <w:sz w:val="28"/>
          <w:szCs w:val="28"/>
          <w:rFonts w:ascii="Times New Roman" w:hAnsi="Times New Roman"/>
        </w:rPr>
        <w:t xml:space="preserve"> – </w:t>
      </w:r>
      <w:r>
        <w:rPr>
          <w:sz w:val="28"/>
          <w:szCs w:val="28"/>
          <w:rFonts w:ascii="Times New Roman" w:hAnsi="Times New Roman"/>
          <w:lang w:val="en-US"/>
        </w:rPr>
        <w:t>V</w:t>
      </w:r>
      <w:r>
        <w:rPr>
          <w:sz w:val="28"/>
          <w:szCs w:val="28"/>
          <w:rFonts w:ascii="Times New Roman" w:hAnsi="Times New Roman"/>
        </w:rPr>
        <w:t xml:space="preserve">, т.е. проявляют тенденцию к повышению или понижению, в зависимости от направления – восходящего или нисходящего – движения мелодии.  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  <w:lang w:val="en-US"/>
        </w:rPr>
        <w:t>III</w:t>
      </w:r>
      <w:r>
        <w:rPr>
          <w:sz w:val="28"/>
          <w:szCs w:val="28"/>
          <w:rFonts w:ascii="Times New Roman" w:hAnsi="Times New Roman"/>
        </w:rPr>
        <w:t xml:space="preserve"> ступень, как известно, тяготеет в мажоре к повышению, в миноре – к понижению, по степени тяготения определяется колоритом звучания аккорда в целом.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Нередко причиной интонационных неудач в ансамбле является стремление участников ансамбля перекричать друг друга. Это происходит от недопонимания роли своей партии на том или ином отрезке музыкального материала, а также из-за недопонимания относительного характера динамических обозначений.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В гомофонном изложении, не смотря на общность нюанса, ведущий голос должен прозвучать более рельефно и выпукло, чем остальные сопровождающие его голоса. При постепенно изменяющейся динамике, определяющая роль также остаётся за ведущим голосом; сопровождающие голоса не должны начинать изменения силы звучания раньше, чем это начнёт делать ведущий голос.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Важно учесть тисситурное положение и динамические свойства ведущего голоса. Если ведущий голос ярок по своему звучанию и написан в высокой тиссетуре, то и сопровождающие голоса могут чувствовать себя свободнее в динамическом плане; если же ведущий голос не столь ярок по своему звучанию, да ещё изложен в невыгодном для него регистре, то сопровождающие голоса должны быть предельно корректными в своём звучании. При исполнении полифонических произведений соподчинение голосов в ансамбле должно строго подчиняться законам полифонии. При исполнении аккордов динамическая градация в звучании начинается с басового голоса – фундаментального и самого громкого с постепенным ослаблением звучания к верхним голосам.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Нередко в основе неудач ансамблевой игры лежат причины метроритмического порядка. При игре </w:t>
      </w:r>
      <w:r>
        <w:rPr>
          <w:sz w:val="28"/>
          <w:szCs w:val="28"/>
          <w:rFonts w:ascii="Times New Roman" w:hAnsi="Times New Roman"/>
          <w:lang w:val="en-US"/>
        </w:rPr>
        <w:t>solo</w:t>
      </w:r>
      <w:r>
        <w:rPr>
          <w:sz w:val="28"/>
          <w:szCs w:val="28"/>
          <w:rFonts w:ascii="Times New Roman" w:hAnsi="Times New Roman"/>
        </w:rPr>
        <w:t xml:space="preserve"> диапазон допустимых метроритмических отклонений значительно шире, чем при ансамблевом исполнительстве, где каждый участник ансамбля должен подчинять свои субъективные ощущения движения коллективному чувству ритма. В особенности это сложно в моменты агогических отклонений, а также при применении полиритмии и полиметрии.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Необходимо отметить важность штриховой культуры в ансамбле.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Первое и важнейшее требование к атаке и штрихам – их ясность и определённость. Твёрдая и мягкая атака должны быть чётко разграничены. Это требование в принципе понятно, однако не всегда легко достижимо. В ансамблевой практике штрихи являются определяющим моментом исполнительской культуры, не менее важным, чем звуковедение, фразировка и динамическая палитра. Критерием оценки штрихов должны служить предельная ясность и чёткость.</w:t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Основной задачей курса является формирование качеств, присущих исполнителю - ансамблисту, через вытекающие отсюда задачи: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приобретение навыков ансамблевого исполнительства;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изучение ансамблевого репертуара;</w:t>
      </w:r>
    </w:p>
    <w:p>
      <w:pPr>
        <w:pStyle w:val="style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изучение стилевых особенностей ансамблевой литературы.</w:t>
      </w:r>
    </w:p>
    <w:p>
      <w:pPr>
        <w:pStyle w:val="style30"/>
        <w:jc w:val="center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30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3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Изучение курса предусматривает: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приобретение навыков ритмической согласованности в процессе ансамблевого исполнительства;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освоение специфики согласованности и соотношения звучания инструментов в ансамбле;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изучение разнообразных ритмических последовательностей, группировок, полиритмии, полифонии, особенностей исполнения их в ансамбле;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закрепление умений использования разнообразных исполнительских средств;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совершенствование исполнительского мастерства;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практическое изучение возможностей инструментов в ансамбле;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умение самостоятельно анализировать исполнительский план произведения.</w:t>
      </w:r>
    </w:p>
    <w:p>
      <w:pPr>
        <w:pStyle w:val="style30"/>
        <w:numPr>
          <w:ilvl w:val="0"/>
          <w:numId w:val="25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28"/>
        <w:jc w:val="center"/>
        <w:ind w:hanging="0" w:left="1440" w:right="0"/>
        <w:spacing w:line="100" w:lineRule="atLeast"/>
      </w:pPr>
      <w:r>
        <w:rPr>
          <w:sz w:val="36"/>
          <w:szCs w:val="36"/>
          <w:rFonts w:ascii="Times New Roman" w:hAnsi="Times New Roman"/>
          <w:lang w:val="en-US"/>
        </w:rPr>
        <w:t>III</w:t>
      </w:r>
      <w:r>
        <w:rPr>
          <w:sz w:val="36"/>
          <w:szCs w:val="36"/>
          <w:rFonts w:ascii="Times New Roman" w:hAnsi="Times New Roman"/>
        </w:rPr>
        <w:t xml:space="preserve"> Требования к уровню подготовки обучающихся</w:t>
      </w:r>
    </w:p>
    <w:p>
      <w:pPr>
        <w:pStyle w:val="style0"/>
        <w:jc w:val="both"/>
        <w:ind w:hanging="0" w:left="360" w:right="0"/>
      </w:pPr>
      <w:r>
        <w:rPr>
          <w:sz w:val="28"/>
          <w:szCs w:val="28"/>
          <w:rFonts w:ascii="Times New Roman" w:hAnsi="Times New Roman"/>
        </w:rPr>
        <w:t>За время обучения в ансамблевом классе у обучающихся должен быть сформирован комплекс умений и навыков, необходимых для совместного музицирования, а именно:</w:t>
      </w:r>
    </w:p>
    <w:p>
      <w:pPr>
        <w:pStyle w:val="style28"/>
        <w:numPr>
          <w:ilvl w:val="0"/>
          <w:numId w:val="23"/>
        </w:numPr>
        <w:jc w:val="both"/>
      </w:pPr>
      <w:r>
        <w:rPr>
          <w:sz w:val="28"/>
          <w:szCs w:val="28"/>
          <w:rFonts w:ascii="Times New Roman" w:hAnsi="Times New Roman"/>
        </w:rPr>
        <w:t>Умение в ансамбле реализовать индивидуальные практические навыки игры на инструменте, приобретенные в классе по специальности;</w:t>
      </w:r>
    </w:p>
    <w:p>
      <w:pPr>
        <w:pStyle w:val="style28"/>
        <w:numPr>
          <w:ilvl w:val="0"/>
          <w:numId w:val="10"/>
        </w:numPr>
        <w:jc w:val="both"/>
      </w:pPr>
      <w:r>
        <w:rPr>
          <w:sz w:val="28"/>
          <w:szCs w:val="28"/>
          <w:rFonts w:ascii="Times New Roman" w:hAnsi="Times New Roman"/>
        </w:rPr>
        <w:t>Исполнение партии в ансамблевом коллективе в соответствии с замыслом композитора и требованиями руководителя; чтение нот с листа;</w:t>
      </w:r>
    </w:p>
    <w:p>
      <w:pPr>
        <w:pStyle w:val="style28"/>
        <w:numPr>
          <w:ilvl w:val="0"/>
          <w:numId w:val="10"/>
        </w:numPr>
        <w:jc w:val="both"/>
      </w:pPr>
      <w:r>
        <w:rPr>
          <w:sz w:val="28"/>
          <w:szCs w:val="28"/>
          <w:rFonts w:ascii="Times New Roman" w:hAnsi="Times New Roman"/>
        </w:rPr>
        <w:t>Понимание музыки, исполняемой ансамблем в целом и отдельными группами; умение слышать тему, подголоски, сопровождение;</w:t>
      </w:r>
    </w:p>
    <w:p>
      <w:pPr>
        <w:pStyle w:val="style28"/>
        <w:numPr>
          <w:ilvl w:val="0"/>
          <w:numId w:val="10"/>
        </w:numPr>
        <w:jc w:val="both"/>
      </w:pPr>
      <w:r>
        <w:rPr>
          <w:sz w:val="28"/>
          <w:szCs w:val="28"/>
          <w:rFonts w:ascii="Times New Roman" w:hAnsi="Times New Roman"/>
        </w:rPr>
        <w:t>Аккомпанирование хору, солистам;</w:t>
      </w:r>
    </w:p>
    <w:p>
      <w:pPr>
        <w:pStyle w:val="style28"/>
        <w:numPr>
          <w:ilvl w:val="0"/>
          <w:numId w:val="10"/>
        </w:numPr>
        <w:jc w:val="both"/>
      </w:pPr>
      <w:r>
        <w:rPr>
          <w:sz w:val="28"/>
          <w:szCs w:val="28"/>
          <w:rFonts w:ascii="Times New Roman" w:hAnsi="Times New Roman"/>
        </w:rPr>
        <w:t>Умение грамотно проанализировать исполняемое оркестровое произведение</w:t>
      </w:r>
      <w:r>
        <w:rPr>
          <w:color w:val="FF0000"/>
          <w:sz w:val="28"/>
          <w:szCs w:val="28"/>
          <w:rFonts w:ascii="Times New Roman" w:hAnsi="Times New Roman"/>
        </w:rPr>
        <w:t>.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>Знания и умения, полученные обучающимися в ансамблевом классе, необходимы выпускникам впоследствии для участия в различных непрофессиональных творческих музыкальных коллективах, а также для дальнейших занятий в ансамблевых классах профессиональных образовательных организаций.</w:t>
      </w:r>
    </w:p>
    <w:p>
      <w:pPr>
        <w:pStyle w:val="style0"/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center"/>
        <w:spacing w:line="100" w:lineRule="atLeast"/>
      </w:pPr>
      <w:r>
        <w:rPr>
          <w:sz w:val="36"/>
          <w:szCs w:val="36"/>
          <w:rFonts w:ascii="Times New Roman" w:hAnsi="Times New Roman"/>
          <w:lang w:val="en-US"/>
        </w:rPr>
        <w:t>IV</w:t>
      </w:r>
      <w:r>
        <w:rPr>
          <w:sz w:val="36"/>
          <w:szCs w:val="36"/>
          <w:rFonts w:ascii="Times New Roman" w:hAnsi="Times New Roman"/>
        </w:rPr>
        <w:t xml:space="preserve"> Формы и методы контроля, система оценок</w:t>
      </w:r>
    </w:p>
    <w:p>
      <w:pPr>
        <w:pStyle w:val="style28"/>
        <w:numPr>
          <w:ilvl w:val="0"/>
          <w:numId w:val="2"/>
        </w:numPr>
        <w:spacing w:line="100" w:lineRule="atLeast"/>
      </w:pPr>
      <w:r>
        <w:rPr>
          <w:sz w:val="28"/>
          <w:i/>
          <w:b/>
          <w:szCs w:val="28"/>
          <w:rFonts w:ascii="Times New Roman" w:hAnsi="Times New Roman"/>
        </w:rPr>
        <w:t>Аттестация: цели, виды, формы, содержание.</w:t>
      </w:r>
    </w:p>
    <w:p>
      <w:pPr>
        <w:pStyle w:val="style28"/>
        <w:spacing w:line="100" w:lineRule="atLeast"/>
      </w:pPr>
      <w:r>
        <w:rPr>
          <w:sz w:val="28"/>
          <w:szCs w:val="28"/>
          <w:rFonts w:ascii="Times New Roman" w:hAnsi="Times New Roman"/>
        </w:rPr>
        <w:t>Основными видами контроля являются:</w:t>
      </w:r>
    </w:p>
    <w:p>
      <w:pPr>
        <w:pStyle w:val="style28"/>
        <w:numPr>
          <w:ilvl w:val="0"/>
          <w:numId w:val="11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Текущий контроль</w:t>
      </w:r>
    </w:p>
    <w:p>
      <w:pPr>
        <w:pStyle w:val="style28"/>
        <w:numPr>
          <w:ilvl w:val="0"/>
          <w:numId w:val="11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Промежуточная аттестация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Каждый из видов контроля имеет свои цели, задачи и формы.</w:t>
      </w:r>
    </w:p>
    <w:p>
      <w:pPr>
        <w:pStyle w:val="style0"/>
        <w:spacing w:line="100" w:lineRule="atLeast"/>
      </w:pPr>
      <w:r>
        <w:rPr>
          <w:sz w:val="28"/>
          <w:i/>
          <w:b/>
          <w:szCs w:val="28"/>
          <w:rFonts w:ascii="Times New Roman" w:hAnsi="Times New Roman"/>
        </w:rPr>
        <w:t xml:space="preserve">Текущий контроль </w:t>
      </w:r>
      <w:r>
        <w:rPr>
          <w:sz w:val="28"/>
          <w:szCs w:val="28"/>
          <w:rFonts w:ascii="Times New Roman" w:hAnsi="Times New Roman"/>
        </w:rPr>
        <w:t xml:space="preserve">направлен на поддержание учебной дисциплины. Выявления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обучающегося. 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В них учитываются:</w:t>
      </w:r>
    </w:p>
    <w:p>
      <w:pPr>
        <w:pStyle w:val="style28"/>
        <w:numPr>
          <w:ilvl w:val="0"/>
          <w:numId w:val="12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Отношение обучающегося  к занятиям, его старания и прилежность;</w:t>
      </w:r>
    </w:p>
    <w:p>
      <w:pPr>
        <w:pStyle w:val="style28"/>
        <w:numPr>
          <w:ilvl w:val="0"/>
          <w:numId w:val="12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Качество выполнения предложенных заданий;</w:t>
      </w:r>
    </w:p>
    <w:p>
      <w:pPr>
        <w:pStyle w:val="style28"/>
        <w:numPr>
          <w:ilvl w:val="0"/>
          <w:numId w:val="12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Инициативность и проявление самостоятельности, как на уроке, так и во время домашней работы;</w:t>
      </w:r>
    </w:p>
    <w:p>
      <w:pPr>
        <w:pStyle w:val="style28"/>
        <w:numPr>
          <w:ilvl w:val="0"/>
          <w:numId w:val="12"/>
        </w:numPr>
        <w:spacing w:line="100" w:lineRule="atLeast"/>
      </w:pPr>
      <w:r>
        <w:rPr>
          <w:sz w:val="28"/>
          <w:szCs w:val="28"/>
          <w:rFonts w:ascii="Times New Roman" w:hAnsi="Times New Roman"/>
        </w:rPr>
        <w:t>Темпы продвижения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На основании результатов текущего контроля выводятся четвертные оценки.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Особой формой текущего контроля является контрольный урок, который проводится преподавателем, ведущим предмет без присутствия комиссии.</w:t>
      </w:r>
    </w:p>
    <w:p>
      <w:pPr>
        <w:pStyle w:val="style0"/>
        <w:spacing w:line="100" w:lineRule="atLeast"/>
      </w:pPr>
      <w:r>
        <w:rPr>
          <w:sz w:val="28"/>
          <w:i/>
          <w:b/>
          <w:szCs w:val="28"/>
          <w:rFonts w:ascii="Times New Roman" w:hAnsi="Times New Roman"/>
        </w:rPr>
        <w:t xml:space="preserve">Промежуточная аттестация </w:t>
      </w:r>
      <w:r>
        <w:rPr>
          <w:sz w:val="28"/>
          <w:szCs w:val="28"/>
          <w:rFonts w:ascii="Times New Roman" w:hAnsi="Times New Roman"/>
        </w:rPr>
        <w:t>определяет успешность развития обучающегося и степень овладения им учебных задач на данном этапе. Наиболее распространенными  формами 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Выступление ансамбля рассматривается как вид промежуточной аттестации.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Обязательным является методическое обсуждение, которое должно носить рекомендательный характер, отмечать степень освоения учебного материала, активность, перспективы и темп развития  обучающихся.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Участие в конкурсах приравнивается к выступлению на академических концертах и зачетах. Переводной экзамен является обязательным для всех.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Переводной экзамен проводится в конце каждого учебного года, определяет качество освоения учебного материала, уровень соответствия с учебными задачами года.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  <w:t>В конце первого  и  второго  полугодия  учебного года руководитель ансамблевого класса выставляет учащимся оценки. При этом учитывается общее развитие ученика, активность и успехи в освоении навыков ансамблевой игры, соблюдение ансамблевой дисциплины.</w:t>
      </w:r>
    </w:p>
    <w:p>
      <w:pPr>
        <w:pStyle w:val="style0"/>
        <w:spacing w:line="100" w:lineRule="atLeast"/>
      </w:pPr>
      <w:bookmarkStart w:id="0" w:name="_GoBack"/>
      <w:bookmarkStart w:id="1" w:name="_GoBack"/>
      <w:bookmarkEnd w:id="1"/>
      <w:r>
        <w:rPr>
          <w:sz w:val="28"/>
          <w:szCs w:val="28"/>
          <w:rFonts w:ascii="Times New Roman" w:hAnsi="Times New Roman"/>
        </w:rPr>
      </w:r>
    </w:p>
    <w:p>
      <w:pPr>
        <w:pStyle w:val="style28"/>
        <w:numPr>
          <w:ilvl w:val="0"/>
          <w:numId w:val="3"/>
        </w:numPr>
      </w:pPr>
      <w:r>
        <w:rPr>
          <w:sz w:val="28"/>
          <w:i/>
          <w:b/>
          <w:szCs w:val="28"/>
          <w:rFonts w:ascii="Times New Roman" w:hAnsi="Times New Roman"/>
        </w:rPr>
        <w:t>Критерии оценки:</w:t>
      </w:r>
    </w:p>
    <w:p>
      <w:pPr>
        <w:pStyle w:val="style0"/>
      </w:pPr>
      <w:r>
        <w:rPr>
          <w:sz w:val="28"/>
          <w:b/>
          <w:szCs w:val="28"/>
          <w:rFonts w:ascii="Times New Roman" w:hAnsi="Times New Roman"/>
        </w:rPr>
        <w:t>Оценка 5 (отлично)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>Предполагает хорошее репертуарное продвижение и хорошее качество исполнения. Количество и трудность произведений должно соответствовать уровню класса или быть выше его. Технически и качественно осмысленное исполнение, отвечающее свеем требованиям на данном этапе обучения.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>Качество означает:</w:t>
      </w:r>
    </w:p>
    <w:p>
      <w:pPr>
        <w:pStyle w:val="style28"/>
        <w:numPr>
          <w:ilvl w:val="0"/>
          <w:numId w:val="13"/>
        </w:numPr>
      </w:pPr>
      <w:r>
        <w:rPr>
          <w:sz w:val="28"/>
          <w:szCs w:val="28"/>
          <w:rFonts w:ascii="Times New Roman" w:hAnsi="Times New Roman"/>
        </w:rPr>
        <w:t>понимание стиля произведения;</w:t>
      </w:r>
    </w:p>
    <w:p>
      <w:pPr>
        <w:pStyle w:val="style28"/>
        <w:numPr>
          <w:ilvl w:val="0"/>
          <w:numId w:val="13"/>
        </w:numPr>
      </w:pPr>
      <w:r>
        <w:rPr>
          <w:sz w:val="28"/>
          <w:szCs w:val="28"/>
          <w:rFonts w:ascii="Times New Roman" w:hAnsi="Times New Roman"/>
        </w:rPr>
        <w:t>понимание формы произведения, осмысленность исполнения;</w:t>
      </w:r>
    </w:p>
    <w:p>
      <w:pPr>
        <w:pStyle w:val="style28"/>
        <w:numPr>
          <w:ilvl w:val="0"/>
          <w:numId w:val="13"/>
        </w:numPr>
      </w:pPr>
      <w:r>
        <w:rPr>
          <w:sz w:val="28"/>
          <w:szCs w:val="28"/>
          <w:rFonts w:ascii="Times New Roman" w:hAnsi="Times New Roman"/>
        </w:rPr>
        <w:t>владение звукоизвлечением, ровное звучание в технике;</w:t>
      </w:r>
    </w:p>
    <w:p>
      <w:pPr>
        <w:pStyle w:val="style28"/>
        <w:numPr>
          <w:ilvl w:val="0"/>
          <w:numId w:val="13"/>
        </w:numPr>
      </w:pPr>
      <w:r>
        <w:rPr>
          <w:sz w:val="28"/>
          <w:szCs w:val="28"/>
          <w:rFonts w:ascii="Times New Roman" w:hAnsi="Times New Roman"/>
        </w:rPr>
        <w:t>Выразительность исполнения, владение интонированием;</w:t>
      </w:r>
    </w:p>
    <w:p>
      <w:pPr>
        <w:pStyle w:val="style28"/>
        <w:numPr>
          <w:ilvl w:val="0"/>
          <w:numId w:val="13"/>
        </w:numPr>
      </w:pPr>
      <w:r>
        <w:rPr>
          <w:sz w:val="28"/>
          <w:szCs w:val="28"/>
          <w:rFonts w:ascii="Times New Roman" w:hAnsi="Times New Roman"/>
        </w:rPr>
        <w:t>Артистичность, сценическая выдержка;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>В этих требованиях закладывается и возможность дальнейшего профессионального обучения учащихся.</w:t>
      </w:r>
    </w:p>
    <w:p>
      <w:pPr>
        <w:pStyle w:val="style0"/>
      </w:pPr>
      <w:r>
        <w:rPr>
          <w:sz w:val="28"/>
          <w:b/>
          <w:szCs w:val="28"/>
          <w:rFonts w:ascii="Times New Roman" w:hAnsi="Times New Roman"/>
        </w:rPr>
        <w:t>Оценка 4 (хорошо)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>Репертуарное продвижение должно соответствовать классу, как и количество проходимого материала.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>Допустимы более умеренные темпы, менее яркие выступления, но качество отработанных навыков и приемов должно быть обязательно. Оценка отражает грамотное исполнение с небольшими недочетами (как в техническом плане, так и в художественном).</w:t>
      </w:r>
    </w:p>
    <w:p>
      <w:pPr>
        <w:pStyle w:val="style0"/>
      </w:pPr>
      <w:r>
        <w:rPr>
          <w:sz w:val="28"/>
          <w:szCs w:val="28"/>
          <w:rFonts w:ascii="Times New Roman" w:hAnsi="Times New Roman"/>
        </w:rPr>
        <w:t>Оценку (хорошо) может получит яркий ученик, выступивший менее удачно. Снижается оценка за стилевые неточности: штрихи, динамика, ритмические отклонения.</w:t>
      </w:r>
    </w:p>
    <w:p>
      <w:pPr>
        <w:pStyle w:val="style0"/>
      </w:pPr>
      <w:r>
        <w:rPr>
          <w:sz w:val="28"/>
          <w:b/>
          <w:szCs w:val="28"/>
          <w:rFonts w:ascii="Times New Roman" w:hAnsi="Times New Roman"/>
        </w:rPr>
        <w:t>Оценка 3 (удовлетворительно)</w:t>
      </w:r>
    </w:p>
    <w:p>
      <w:pPr>
        <w:pStyle w:val="style28"/>
        <w:numPr>
          <w:ilvl w:val="0"/>
          <w:numId w:val="14"/>
        </w:numPr>
      </w:pPr>
      <w:r>
        <w:rPr>
          <w:sz w:val="28"/>
          <w:szCs w:val="28"/>
          <w:rFonts w:ascii="Times New Roman" w:hAnsi="Times New Roman"/>
        </w:rPr>
        <w:t>Недостаточное репертуарное продвижение (трудность произведения);</w:t>
      </w:r>
    </w:p>
    <w:p>
      <w:pPr>
        <w:pStyle w:val="style28"/>
        <w:numPr>
          <w:ilvl w:val="0"/>
          <w:numId w:val="14"/>
        </w:numPr>
      </w:pPr>
      <w:r>
        <w:rPr>
          <w:sz w:val="28"/>
          <w:szCs w:val="28"/>
          <w:rFonts w:ascii="Times New Roman" w:hAnsi="Times New Roman"/>
        </w:rPr>
        <w:t>Погрешности в качестве исполнения: неровная, замедленная техника, зажатость в аппарате, отсутствие пластики, отсутствие интонирования, плохая артикуляция;</w:t>
      </w:r>
    </w:p>
    <w:p>
      <w:pPr>
        <w:pStyle w:val="style28"/>
        <w:numPr>
          <w:ilvl w:val="0"/>
          <w:numId w:val="14"/>
        </w:numPr>
      </w:pPr>
      <w:r>
        <w:rPr>
          <w:sz w:val="28"/>
          <w:szCs w:val="28"/>
          <w:rFonts w:ascii="Times New Roman" w:hAnsi="Times New Roman"/>
        </w:rPr>
        <w:t>Непонимание формы, характера исполняемого произведения;</w:t>
      </w:r>
    </w:p>
    <w:p>
      <w:pPr>
        <w:pStyle w:val="style28"/>
        <w:numPr>
          <w:ilvl w:val="0"/>
          <w:numId w:val="14"/>
        </w:numPr>
      </w:pPr>
      <w:r>
        <w:rPr>
          <w:sz w:val="28"/>
          <w:szCs w:val="28"/>
          <w:rFonts w:ascii="Times New Roman" w:hAnsi="Times New Roman"/>
        </w:rPr>
        <w:t>Грубое звукоизвлечение и динамика.</w:t>
      </w:r>
    </w:p>
    <w:p>
      <w:pPr>
        <w:pStyle w:val="style0"/>
        <w:ind w:hanging="0" w:left="360" w:right="0"/>
      </w:pPr>
      <w:r>
        <w:rPr>
          <w:sz w:val="28"/>
          <w:szCs w:val="28"/>
          <w:rFonts w:ascii="Times New Roman" w:hAnsi="Times New Roman"/>
        </w:rPr>
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</w:r>
    </w:p>
    <w:p>
      <w:pPr>
        <w:pStyle w:val="style0"/>
      </w:pPr>
      <w:r>
        <w:rPr>
          <w:sz w:val="28"/>
          <w:b/>
          <w:szCs w:val="28"/>
          <w:rFonts w:ascii="Times New Roman" w:hAnsi="Times New Roman"/>
        </w:rPr>
        <w:t>Оценка 2 (неудовлетворительно)</w:t>
      </w:r>
    </w:p>
    <w:p>
      <w:pPr>
        <w:pStyle w:val="style28"/>
        <w:numPr>
          <w:ilvl w:val="0"/>
          <w:numId w:val="15"/>
        </w:numPr>
      </w:pPr>
      <w:r>
        <w:rPr>
          <w:sz w:val="28"/>
          <w:szCs w:val="28"/>
          <w:rFonts w:ascii="Times New Roman" w:hAnsi="Times New Roman"/>
        </w:rPr>
        <w:t>Комплекс недостатков, являющийся следствием отсутствия домашних занятий, а также плохая посещаемость аудиторных занятий.</w:t>
      </w:r>
    </w:p>
    <w:p>
      <w:pPr>
        <w:pStyle w:val="style0"/>
      </w:pPr>
      <w:r>
        <w:rPr>
          <w:sz w:val="28"/>
          <w:b/>
          <w:szCs w:val="28"/>
          <w:rFonts w:ascii="Times New Roman" w:hAnsi="Times New Roman"/>
        </w:rPr>
        <w:t>Оценка 1 (плохо)</w:t>
      </w:r>
    </w:p>
    <w:p>
      <w:pPr>
        <w:pStyle w:val="style28"/>
        <w:numPr>
          <w:ilvl w:val="0"/>
          <w:numId w:val="15"/>
        </w:numPr>
      </w:pPr>
      <w:r>
        <w:rPr>
          <w:sz w:val="28"/>
          <w:szCs w:val="28"/>
          <w:rFonts w:ascii="Times New Roman" w:hAnsi="Times New Roman"/>
        </w:rPr>
        <w:t>Отсутствие возможности исполнить на сцене музыкальный материал.</w:t>
      </w:r>
    </w:p>
    <w:p>
      <w:pPr>
        <w:pStyle w:val="style0"/>
      </w:pPr>
      <w:r>
        <w:rPr>
          <w:sz w:val="28"/>
          <w:b/>
          <w:szCs w:val="28"/>
          <w:rFonts w:ascii="Times New Roman" w:hAnsi="Times New Roman"/>
        </w:rPr>
        <w:t xml:space="preserve">«Зачет» (без оценки) </w:t>
      </w:r>
      <w:r>
        <w:rPr>
          <w:sz w:val="28"/>
          <w:szCs w:val="28"/>
          <w:rFonts w:ascii="Times New Roman" w:hAnsi="Times New Roman"/>
        </w:rPr>
        <w:t>отражает достаточный уровень подготовки и исполнения на данном этапе обучения.</w:t>
      </w:r>
    </w:p>
    <w:p>
      <w:pPr>
        <w:pStyle w:val="style0"/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>Согласно ФГТ, данная система оценки качества исполнения является основной. В зависимости от сложившихся традиций образовательной организации и с учетом целесообразности оценка качества может быть дополнена системой «+»  и «-», что дает возможность более конкретно отметить выступление учащегося.</w:t>
      </w:r>
    </w:p>
    <w:p>
      <w:pPr>
        <w:pStyle w:val="style0"/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</w:t>
      </w:r>
    </w:p>
    <w:p>
      <w:pPr>
        <w:pStyle w:val="style0"/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>При выведении итоговой (переводной)  оценки учитывается следующее:</w:t>
      </w:r>
    </w:p>
    <w:p>
      <w:pPr>
        <w:pStyle w:val="style28"/>
        <w:numPr>
          <w:ilvl w:val="0"/>
          <w:numId w:val="16"/>
        </w:numPr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>Оценка годовой работы ученика;</w:t>
      </w:r>
    </w:p>
    <w:p>
      <w:pPr>
        <w:pStyle w:val="style28"/>
        <w:numPr>
          <w:ilvl w:val="0"/>
          <w:numId w:val="16"/>
        </w:numPr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>Оценка на академическом концерте или экзамене;</w:t>
      </w:r>
    </w:p>
    <w:p>
      <w:pPr>
        <w:pStyle w:val="style28"/>
        <w:numPr>
          <w:ilvl w:val="0"/>
          <w:numId w:val="16"/>
        </w:numPr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>Другие выступления обучающегося в течение учебного года.</w:t>
      </w:r>
    </w:p>
    <w:p>
      <w:pPr>
        <w:pStyle w:val="style0"/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center"/>
      </w:pPr>
      <w:r>
        <w:rPr>
          <w:sz w:val="36"/>
          <w:szCs w:val="36"/>
          <w:rFonts w:ascii="Times New Roman" w:hAnsi="Times New Roman"/>
          <w:lang w:val="en-US"/>
        </w:rPr>
        <w:t>V</w:t>
      </w:r>
      <w:r>
        <w:rPr>
          <w:sz w:val="36"/>
          <w:szCs w:val="36"/>
          <w:rFonts w:ascii="Times New Roman" w:hAnsi="Times New Roman"/>
        </w:rPr>
        <w:t xml:space="preserve">  Методическое обеспечение учебного процесса</w:t>
      </w:r>
    </w:p>
    <w:p>
      <w:pPr>
        <w:pStyle w:val="style28"/>
        <w:numPr>
          <w:ilvl w:val="0"/>
          <w:numId w:val="4"/>
        </w:numPr>
      </w:pPr>
      <w:r>
        <w:rPr>
          <w:sz w:val="28"/>
          <w:i/>
          <w:b/>
          <w:szCs w:val="28"/>
          <w:rFonts w:ascii="Times New Roman" w:hAnsi="Times New Roman"/>
        </w:rPr>
        <w:t>Методические рекомендации педагогическим работникам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 xml:space="preserve">          </w:t>
      </w:r>
      <w:r>
        <w:rPr>
          <w:sz w:val="28"/>
          <w:szCs w:val="28"/>
          <w:rFonts w:ascii="Times New Roman" w:hAnsi="Times New Roman"/>
        </w:rPr>
        <w:t xml:space="preserve">В отличии от другого вида коллективного музицировании – оркестра, где партии, как правило, дублируются, в ансамбле каждый голос солирующий, выполняет свою функциональную роль. Регулярные домашние занятия позволяют  выучить наиболее сложные музыкальные фрагменты до начала совместных репетиций. 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 xml:space="preserve">          </w:t>
      </w:r>
      <w:r>
        <w:rPr>
          <w:sz w:val="28"/>
          <w:szCs w:val="28"/>
          <w:rFonts w:ascii="Times New Roman" w:hAnsi="Times New Roman"/>
        </w:rPr>
        <w:t xml:space="preserve">Преподавателю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учеником. На начальном этапе в ансамблях из трех  и более человек рекомендуется репетиции проводить по два человека, умело сочетать и чередовать состав. Также можно предложить использование часов, отведенных  на консультации, предусмотренные учебным планом. Консультации проводятся с целью подготовки обучающихся к контрольным урокам, зачетам, экзаменам, творческим конкурсам и другим мероприятиям. 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 xml:space="preserve">          </w:t>
      </w:r>
      <w:r>
        <w:rPr>
          <w:sz w:val="28"/>
          <w:szCs w:val="28"/>
          <w:rFonts w:ascii="Times New Roman" w:hAnsi="Times New Roman"/>
        </w:rPr>
        <w:t>Преподаватель должен иметь в виду, что формирование ансамбля иногда происходит  в зависимости от наличия конкретных инструменталистов в данной образовательной организации. При определенных условиях допустимо участие в одном ансамбле обучающихся разных классов. В данном случае преподавателю необходимо распределить партии в зависимости от степени подготовленности обучающихся.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 xml:space="preserve">          </w:t>
      </w:r>
      <w:r>
        <w:rPr>
          <w:sz w:val="28"/>
          <w:szCs w:val="28"/>
          <w:rFonts w:ascii="Times New Roman" w:hAnsi="Times New Roman"/>
        </w:rPr>
        <w:t>В целях расширения музыкального кругозора и развития навыков чтения с листа желательно знакомство обучающихся с большим количеством произведений, не доводя их до уровня концертного выступления.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 xml:space="preserve">          </w:t>
      </w:r>
      <w:r>
        <w:rPr>
          <w:sz w:val="28"/>
          <w:szCs w:val="28"/>
          <w:rFonts w:ascii="Times New Roman" w:hAnsi="Times New Roman"/>
        </w:rPr>
        <w:t>На начальном этапе обучения важнейшим требованием является ясное понимание обучающимся своей роли и значения своей партии в исполняемом произведении в ансамбле.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>Преподаватель должен обращать внимание на интонацию, правильное звукоизвлечение, сбалансированную динамику, штриховую согласованность и четкость, ясную схему формообразующих элементов.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 xml:space="preserve">         </w:t>
      </w:r>
      <w:r>
        <w:rPr>
          <w:sz w:val="28"/>
          <w:szCs w:val="28"/>
          <w:rFonts w:ascii="Times New Roman" w:hAnsi="Times New Roman"/>
        </w:rPr>
        <w:t>При выборе репертуара для различных по составу ансамблей преподаватель должен стремиться к тематическому разнообразию, обращать внимание на сложность материала, ценность художественной идеи, качество инструментовок и переложений для конкретного состава, а также на фактурные возможности данного состава. Грамотно составленная программа, профессионально, творчески выполненная инструментовка – залог успешных выступлений.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 xml:space="preserve">         </w:t>
      </w:r>
      <w:r>
        <w:rPr>
          <w:sz w:val="28"/>
          <w:szCs w:val="28"/>
          <w:rFonts w:ascii="Times New Roman" w:hAnsi="Times New Roman"/>
        </w:rPr>
        <w:t>В звучании ансамбля немаловажным моментом является размещение исполнителей. Оно должно исходить от акустических особенностей инструментов, от необходимости музыкального контактирования между участниками ансамбля.</w:t>
      </w:r>
    </w:p>
    <w:p>
      <w:pPr>
        <w:pStyle w:val="style28"/>
        <w:numPr>
          <w:ilvl w:val="0"/>
          <w:numId w:val="17"/>
        </w:numPr>
      </w:pPr>
      <w:r>
        <w:rPr>
          <w:sz w:val="28"/>
          <w:i/>
          <w:b/>
          <w:szCs w:val="28"/>
          <w:rFonts w:ascii="Times New Roman" w:hAnsi="Times New Roman"/>
        </w:rPr>
        <w:t>Рекомендации по организации самостоятельной работы обучающихся:</w:t>
      </w:r>
    </w:p>
    <w:p>
      <w:pPr>
        <w:pStyle w:val="style28"/>
        <w:numPr>
          <w:ilvl w:val="0"/>
          <w:numId w:val="18"/>
        </w:numPr>
      </w:pPr>
      <w:r>
        <w:rPr>
          <w:sz w:val="28"/>
          <w:szCs w:val="28"/>
          <w:rFonts w:ascii="Times New Roman" w:hAnsi="Times New Roman"/>
        </w:rPr>
        <w:t>Самостоятельные  занятия должны быть регулярными и систематическими;</w:t>
      </w:r>
    </w:p>
    <w:p>
      <w:pPr>
        <w:pStyle w:val="style28"/>
        <w:numPr>
          <w:ilvl w:val="0"/>
          <w:numId w:val="18"/>
        </w:numPr>
      </w:pPr>
      <w:r>
        <w:rPr>
          <w:sz w:val="28"/>
          <w:szCs w:val="28"/>
          <w:rFonts w:ascii="Times New Roman" w:hAnsi="Times New Roman"/>
        </w:rPr>
        <w:t>Периодичность занятий – каждый день;</w:t>
      </w:r>
    </w:p>
    <w:p>
      <w:pPr>
        <w:pStyle w:val="style28"/>
        <w:numPr>
          <w:ilvl w:val="0"/>
          <w:numId w:val="18"/>
        </w:numPr>
      </w:pPr>
      <w:r>
        <w:rPr>
          <w:sz w:val="28"/>
          <w:szCs w:val="28"/>
          <w:rFonts w:ascii="Times New Roman" w:hAnsi="Times New Roman"/>
        </w:rPr>
        <w:t>Количество занятий в неделю – пол часа. Объем самостоятельной работы определяется с учетом минимальных затрат на подготовку домашнего задания (параллельно с освоением детьми программы основного общего образования), а также с учетом сложившихся педагогических традиций в образовательной организации и методической целесообразности.</w:t>
      </w:r>
    </w:p>
    <w:p>
      <w:pPr>
        <w:pStyle w:val="style28"/>
        <w:numPr>
          <w:ilvl w:val="0"/>
          <w:numId w:val="18"/>
        </w:numPr>
      </w:pPr>
      <w:r>
        <w:rPr>
          <w:sz w:val="28"/>
          <w:szCs w:val="28"/>
          <w:rFonts w:ascii="Times New Roman" w:hAnsi="Times New Roman"/>
        </w:rPr>
        <w:t>Ученик должен быть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>
      <w:pPr>
        <w:pStyle w:val="style28"/>
        <w:numPr>
          <w:ilvl w:val="0"/>
          <w:numId w:val="18"/>
        </w:numPr>
      </w:pPr>
      <w:r>
        <w:rPr>
          <w:sz w:val="28"/>
          <w:szCs w:val="28"/>
          <w:rFonts w:ascii="Times New Roman" w:hAnsi="Times New Roman"/>
        </w:rPr>
        <w:t xml:space="preserve">Индивидуальная домашняя работа может проходить в несколько приемов и должна строится в соответствии с рекомендациями преподавателя по ансамблевому классу. Ученик должен уйти с урока с ясным представлением, над чем ему работать дома. </w:t>
      </w:r>
    </w:p>
    <w:p>
      <w:pPr>
        <w:pStyle w:val="style28"/>
        <w:ind w:hanging="0" w:left="1080" w:right="0"/>
      </w:pPr>
      <w:r>
        <w:rPr>
          <w:sz w:val="28"/>
          <w:szCs w:val="28"/>
          <w:rFonts w:ascii="Times New Roman" w:hAnsi="Times New Roman"/>
        </w:rPr>
        <w:t>Возможные виды домашнего задания:</w:t>
      </w:r>
    </w:p>
    <w:p>
      <w:pPr>
        <w:pStyle w:val="style28"/>
        <w:numPr>
          <w:ilvl w:val="0"/>
          <w:numId w:val="19"/>
        </w:numPr>
      </w:pPr>
      <w:r>
        <w:rPr>
          <w:sz w:val="28"/>
          <w:szCs w:val="28"/>
          <w:rFonts w:ascii="Times New Roman" w:hAnsi="Times New Roman"/>
        </w:rPr>
        <w:t>Упражнения для развития звука (Выдержанные ноты);</w:t>
      </w:r>
    </w:p>
    <w:p>
      <w:pPr>
        <w:pStyle w:val="style28"/>
        <w:numPr>
          <w:ilvl w:val="0"/>
          <w:numId w:val="19"/>
        </w:numPr>
      </w:pPr>
      <w:r>
        <w:rPr>
          <w:sz w:val="28"/>
          <w:szCs w:val="28"/>
          <w:rFonts w:ascii="Times New Roman" w:hAnsi="Times New Roman"/>
        </w:rPr>
        <w:t>Работа над художественным материалом (ансамблевые партии  изучаемых произведений);</w:t>
      </w:r>
    </w:p>
    <w:p>
      <w:pPr>
        <w:pStyle w:val="style28"/>
        <w:numPr>
          <w:ilvl w:val="0"/>
          <w:numId w:val="19"/>
        </w:numPr>
      </w:pPr>
      <w:r>
        <w:rPr>
          <w:sz w:val="28"/>
          <w:szCs w:val="28"/>
          <w:rFonts w:ascii="Times New Roman" w:hAnsi="Times New Roman"/>
        </w:rPr>
        <w:t>Чтение с листа;</w:t>
      </w:r>
    </w:p>
    <w:p>
      <w:pPr>
        <w:pStyle w:val="style28"/>
        <w:numPr>
          <w:ilvl w:val="0"/>
          <w:numId w:val="20"/>
        </w:numPr>
      </w:pPr>
      <w:r>
        <w:rPr>
          <w:sz w:val="28"/>
          <w:szCs w:val="28"/>
          <w:rFonts w:ascii="Times New Roman" w:hAnsi="Times New Roman"/>
        </w:rPr>
        <w:t>Периодически следует проводить уроки, контролирующие ход домашнее работы ученика.</w:t>
      </w:r>
    </w:p>
    <w:p>
      <w:pPr>
        <w:pStyle w:val="style0"/>
        <w:jc w:val="center"/>
        <w:ind w:hanging="0" w:left="1080" w:right="0"/>
      </w:pPr>
      <w:r>
        <w:rPr>
          <w:sz w:val="36"/>
          <w:szCs w:val="36"/>
          <w:rFonts w:ascii="Times New Roman" w:hAnsi="Times New Roman"/>
          <w:lang w:val="en-US"/>
        </w:rPr>
        <w:t>VI</w:t>
      </w:r>
      <w:r>
        <w:rPr>
          <w:sz w:val="36"/>
          <w:szCs w:val="36"/>
          <w:rFonts w:ascii="Times New Roman" w:hAnsi="Times New Roman"/>
        </w:rPr>
        <w:t xml:space="preserve"> Списки рекомендуемой нотной и методической литературы, интернет ресурсов;</w:t>
      </w:r>
    </w:p>
    <w:p>
      <w:pPr>
        <w:pStyle w:val="style28"/>
        <w:numPr>
          <w:ilvl w:val="0"/>
          <w:numId w:val="21"/>
        </w:numPr>
        <w:jc w:val="both"/>
      </w:pPr>
      <w:r>
        <w:rPr>
          <w:sz w:val="28"/>
          <w:b/>
          <w:szCs w:val="28"/>
          <w:rFonts w:ascii="Times New Roman" w:hAnsi="Times New Roman"/>
        </w:rPr>
        <w:t>Рекомендуемые учебные пособия и сборники педагогического репертуара: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</w:pPr>
      <w:r>
        <w:rPr>
          <w:sz w:val="28"/>
          <w:b/>
          <w:szCs w:val="28"/>
          <w:bCs/>
          <w:rFonts w:ascii="Times New Roman" w:hAnsi="Times New Roman"/>
        </w:rPr>
        <w:t>Интернет – ресурсы:</w:t>
      </w:r>
    </w:p>
    <w:p>
      <w:pPr>
        <w:pStyle w:val="style0"/>
        <w:jc w:val="both"/>
        <w:tabs>
          <w:tab w:leader="none" w:pos="-416" w:val="left"/>
          <w:tab w:leader="none" w:pos="-132" w:val="left"/>
          <w:tab w:leader="none" w:pos="5746" w:val="left"/>
        </w:tabs>
        <w:suppressAutoHyphens w:val="true"/>
        <w:ind w:hanging="0" w:left="-208" w:right="0"/>
      </w:pPr>
      <w:r>
        <w:rPr>
          <w:sz w:val="28"/>
          <w:b/>
          <w:szCs w:val="28"/>
          <w:bCs/>
          <w:rFonts w:ascii="Times New Roman" w:hAnsi="Times New Roman"/>
          <w:lang w:val="en-US"/>
        </w:rPr>
        <w:t>MIRNOT.NET$; Njteslibrary.ru; You Tube; My Flute.ru; Fagotizm.ru; TrompetClab.ru;</w:t>
      </w:r>
      <w:r>
        <w:rPr>
          <w:sz w:val="28"/>
          <w:b/>
          <w:szCs w:val="28"/>
          <w:rFonts w:ascii="Times New Roman" w:hAnsi="Times New Roman"/>
          <w:lang w:val="en-US"/>
        </w:rPr>
        <w:t xml:space="preserve"> musicaviva.com/sheet.tpl</w:t>
      </w:r>
      <w:r>
        <w:rPr>
          <w:sz w:val="28"/>
          <w:b/>
          <w:szCs w:val="28"/>
          <w:rFonts w:ascii="Times New Roman" w:hAnsi="Times New Roman"/>
        </w:rPr>
        <w:t>ж</w:t>
      </w:r>
      <w:r>
        <w:rPr>
          <w:sz w:val="28"/>
          <w:b/>
          <w:szCs w:val="28"/>
          <w:rFonts w:ascii="Times New Roman" w:hAnsi="Times New Roman"/>
          <w:lang w:val="en-US"/>
        </w:rPr>
        <w:t xml:space="preserve"> icking-music-archive. SibeliusMusic</w:t>
      </w:r>
      <w:r>
        <w:rPr>
          <w:sz w:val="28"/>
          <w:b/>
          <w:szCs w:val="28"/>
          <w:rFonts w:ascii="Times New Roman" w:hAnsi="Times New Roman"/>
        </w:rPr>
        <w:t xml:space="preserve"> </w:t>
      </w:r>
      <w:hyperlink r:id="rId4">
        <w:r>
          <w:rPr>
            <w:sz w:val="28"/>
            <w:b/>
            <w:szCs w:val="28"/>
            <w:rStyle w:val="style17"/>
            <w:rFonts w:ascii="Times New Roman" w:hAnsi="Times New Roman"/>
            <w:lang w:val="en-US"/>
          </w:rPr>
          <w:t>musictheory</w:t>
        </w:r>
      </w:hyperlink>
      <w:r>
        <w:rPr>
          <w:sz w:val="28"/>
          <w:b/>
          <w:szCs w:val="28"/>
          <w:rStyle w:val="style17"/>
          <w:rFonts w:ascii="Times New Roman" w:hAnsi="Times New Roman"/>
        </w:rPr>
        <w:t>.</w:t>
      </w:r>
      <w:r>
        <w:rPr>
          <w:sz w:val="28"/>
          <w:b/>
          <w:szCs w:val="28"/>
          <w:rStyle w:val="style17"/>
          <w:rFonts w:ascii="Times New Roman" w:hAnsi="Times New Roman"/>
          <w:lang w:val="en-US"/>
        </w:rPr>
        <w:t>by</w:t>
      </w:r>
      <w:r>
        <w:rPr>
          <w:sz w:val="28"/>
          <w:b/>
          <w:szCs w:val="28"/>
          <w:rStyle w:val="style17"/>
          <w:rFonts w:ascii="Times New Roman" w:hAnsi="Times New Roman"/>
        </w:rPr>
        <w:t>.</w:t>
      </w:r>
      <w:r>
        <w:rPr>
          <w:sz w:val="28"/>
          <w:b/>
          <w:szCs w:val="28"/>
          <w:rStyle w:val="style17"/>
          <w:rFonts w:ascii="Times New Roman" w:hAnsi="Times New Roman"/>
          <w:lang w:val="en-US"/>
        </w:rPr>
        <w:t>ru</w:t>
      </w:r>
      <w:r>
        <w:rPr>
          <w:sz w:val="28"/>
          <w:b/>
          <w:szCs w:val="28"/>
          <w:rStyle w:val="style17"/>
          <w:rFonts w:ascii="Times New Roman" w:hAnsi="Times New Roman"/>
        </w:rPr>
        <w:t>/</w:t>
      </w:r>
      <w:r>
        <w:rPr>
          <w:sz w:val="28"/>
          <w:b/>
          <w:szCs w:val="28"/>
          <w:rFonts w:ascii="Times New Roman" w:hAnsi="Times New Roman"/>
        </w:rPr>
        <w:t xml:space="preserve"> ;  </w:t>
      </w:r>
      <w:r>
        <w:rPr>
          <w:sz w:val="28"/>
          <w:b/>
          <w:szCs w:val="28"/>
          <w:rFonts w:ascii="Times New Roman" w:hAnsi="Times New Roman"/>
          <w:lang w:val="en-US"/>
        </w:rPr>
        <w:t>brassband</w:t>
      </w:r>
      <w:r>
        <w:rPr>
          <w:sz w:val="28"/>
          <w:b/>
          <w:szCs w:val="28"/>
          <w:rFonts w:ascii="Times New Roman" w:hAnsi="Times New Roman"/>
        </w:rPr>
        <w:t>.</w:t>
      </w:r>
      <w:r>
        <w:rPr>
          <w:sz w:val="28"/>
          <w:b/>
          <w:szCs w:val="28"/>
          <w:rFonts w:ascii="Times New Roman" w:hAnsi="Times New Roman"/>
          <w:lang w:val="en-US"/>
        </w:rPr>
        <w:t>urai</w:t>
      </w:r>
      <w:r>
        <w:rPr>
          <w:sz w:val="28"/>
          <w:b/>
          <w:szCs w:val="28"/>
          <w:rFonts w:ascii="Times New Roman" w:hAnsi="Times New Roman"/>
        </w:rPr>
        <w:t>.</w:t>
      </w:r>
      <w:r>
        <w:rPr>
          <w:sz w:val="28"/>
          <w:b/>
          <w:szCs w:val="28"/>
          <w:rFonts w:ascii="Times New Roman" w:hAnsi="Times New Roman"/>
          <w:lang w:val="en-US"/>
        </w:rPr>
        <w:t>ru</w:t>
      </w:r>
    </w:p>
    <w:p>
      <w:pPr>
        <w:pStyle w:val="style0"/>
        <w:jc w:val="both"/>
        <w:tabs>
          <w:tab w:leader="none" w:pos="-416" w:val="left"/>
          <w:tab w:leader="none" w:pos="-132" w:val="left"/>
          <w:tab w:leader="none" w:pos="5746" w:val="left"/>
        </w:tabs>
        <w:suppressAutoHyphens w:val="true"/>
        <w:ind w:hanging="0" w:left="-208" w:right="0"/>
        <w:spacing w:line="100" w:lineRule="atLeast"/>
      </w:pPr>
      <w:r>
        <w:rPr>
          <w:sz w:val="28"/>
          <w:b/>
          <w:szCs w:val="28"/>
          <w:rFonts w:ascii="Times New Roman" w:hAnsi="Times New Roman"/>
        </w:rPr>
        <w:t>Педагогический репертуар: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Ансамбли для духовых инструментов. Л. Музыка, 1981, вып.1.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Ансамбли для духовых инструментов. Л. Музыка, 1982, вып.2.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Сборник ансамблей для духовых инструментов / учебное пособие – М. 1991 г.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«По страницам времени». Партитура для духовых ансамблей. Вып.1 – М., 1990.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«По страницам времени». Вып.2 –М., 1991.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Ансамбли для духовых инструментов. –М., 1992.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«Играем вместе». Ансамбли старинных авторов для духовых. – М., 1970.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Блюм О. Дуэты для 2-х тромбонов. –М., 1989.</w:t>
      </w:r>
    </w:p>
    <w:p>
      <w:pPr>
        <w:pStyle w:val="style29"/>
        <w:numPr>
          <w:ilvl w:val="0"/>
          <w:numId w:val="24"/>
        </w:numPr>
        <w:jc w:val="both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Григорьев В. Составление Трио для тромбонов. –М., 1967.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10.Убер О. Квартеты для тромбонов.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11.Кравченко Н. «Протяжная и плясовая».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12.Ноок Э. Соната.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13.Дитер М. Трио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14.Моцарт В.А. Романс. Полонез. Рондо.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15.Марензио Д. Трио.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16.Шапошникова  М.    Составление:    дуэты,    трио,    квартеты   для 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     </w:t>
      </w:r>
      <w:r>
        <w:rPr>
          <w:sz w:val="28"/>
          <w:szCs w:val="28"/>
          <w:rFonts w:ascii="Times New Roman" w:hAnsi="Times New Roman"/>
        </w:rPr>
        <w:t>саксофона М., 1989.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17.Шоллар М. Ансамбли для валторны. –М,, 1961.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18.Вейсенборн А. Дуэты для фагота. –М,, 1954.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19.Галкин В. Составление: пьесы для дуэта и трио кларнетов.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20.Лакур А. Этюды-дуэты.</w:t>
      </w:r>
    </w:p>
    <w:p>
      <w:pPr>
        <w:pStyle w:val="style29"/>
        <w:ind w:hanging="0" w:left="360" w:right="0"/>
        <w:spacing w:line="100" w:lineRule="atLeast"/>
      </w:pPr>
      <w:r>
        <w:rPr>
          <w:sz w:val="28"/>
          <w:szCs w:val="28"/>
          <w:rFonts w:ascii="Times New Roman" w:hAnsi="Times New Roman"/>
        </w:rPr>
        <w:t>21.Тронье Ж. Ансамбли для духовых. –М., 1967.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</w:pPr>
      <w:r>
        <w:rPr>
          <w:sz w:val="28"/>
          <w:b/>
          <w:szCs w:val="28"/>
          <w:bCs/>
          <w:rFonts w:ascii="Times New Roman" w:hAnsi="Times New Roman"/>
        </w:rPr>
        <w:t>Основные источники: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Апатский В. Основы теории и методики духового музыкально – исполнительского мастерства. – Киев2006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  <w:t>Аркин И. Воспитание оркестрового музыканта. – В.сб.:Методические записки по вопросам музыкального воспитания. М., 1966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Благодатов Г. История симфонического оркестра. – Л., 1969.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Благодатов Г. Кларнет. – М., 1965.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Буяновский В. Валторна. – М., 1971.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Вопросы методики начального музыкального образования  /  Ред. – сост.В. Натансон.в., Руденко в. – М..1981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Вопросы музыкальной педагогики /Ред. – сост. В. Руденко. Вып.2. – М., 1980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Вопросы музыкальной педагогики /Ред. – сост. В. Руденко. Вып.7. – М., 1986</w:t>
      </w:r>
    </w:p>
    <w:p>
      <w:pPr>
        <w:pStyle w:val="style24"/>
      </w:pPr>
      <w:r>
        <w:rPr>
          <w:szCs w:val="28"/>
        </w:rPr>
        <w:t>Вопросы музыкальной педагогики. Сборник статей. Редактор – составитель Ю.А.Усов. – М., 1983.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Вопросы музыкальной педагогики /Ред. – сост. С.П. Понятовский. Вып. 8. М., «Музыка» 1968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Вопросы совершенствования преподавания игры на оркестровых инструментах \ Ред. Сост. М. Берлянчик. – М., 1978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 xml:space="preserve">Гинзбург Л. О работе над музыкальным произведением. – М., 1965 </w:t>
      </w:r>
    </w:p>
    <w:p>
      <w:pPr>
        <w:pStyle w:val="style24"/>
      </w:pPr>
      <w:r>
        <w:rPr>
          <w:szCs w:val="28"/>
        </w:rPr>
        <w:t>Диков  Б. Методика обучения игре на духовых инструментах. – М., 1962.</w:t>
      </w:r>
    </w:p>
    <w:p>
      <w:pPr>
        <w:pStyle w:val="style24"/>
      </w:pPr>
      <w:r>
        <w:rPr>
          <w:szCs w:val="28"/>
        </w:rPr>
        <w:t>Диков  Б. Методика обучения игре на кларнете. – М., 1983.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Иванов В. Саксофон. – М., 1990.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Карс А. История оркестровки. – М., 1990.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Левин С. Духовые инструменты в истории музыкальной культуры. – Л., 1973г,ч.1.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Левин С. Духовые инструменты в истории музыкальной культуры. – Л., 1983г,ч.2.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Левин С. Фагот. – М., 1963.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Модр А. Музыкальные инструменты. – М., 1959.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Модр А. Музыкальные конкурсы в прошлом и настоящем. – М., 1975.</w:t>
      </w:r>
    </w:p>
    <w:p>
      <w:pPr>
        <w:pStyle w:val="style24"/>
      </w:pPr>
      <w:r>
        <w:rPr>
          <w:szCs w:val="28"/>
        </w:rPr>
        <w:t>Манжора  Б. Методика обучения игре на тромбоне. – Киев, 1976.</w:t>
      </w:r>
    </w:p>
    <w:p>
      <w:pPr>
        <w:pStyle w:val="style24"/>
      </w:pPr>
      <w:r>
        <w:rPr>
          <w:szCs w:val="28"/>
        </w:rPr>
        <w:t>Методика обучения игре на духовых инструментах (очерки). Вып.1 /Под ред. Е.В.Назайкинского. – М., 1964.</w:t>
      </w:r>
    </w:p>
    <w:p>
      <w:pPr>
        <w:pStyle w:val="style24"/>
      </w:pPr>
      <w:r>
        <w:rPr>
          <w:szCs w:val="28"/>
        </w:rPr>
        <w:t>Методика обучения игре на духовых инструментах (очерки). Вып.2 /Под ред. Ю.А.Усова – М., 1966.</w:t>
      </w:r>
    </w:p>
    <w:p>
      <w:pPr>
        <w:pStyle w:val="style24"/>
      </w:pPr>
      <w:r>
        <w:rPr>
          <w:szCs w:val="28"/>
        </w:rPr>
        <w:t>Методика обучения игре на духовых инструментах (очерки). Вып.3 /Под ред. Ю.А.Усова – М., 1971.</w:t>
      </w:r>
    </w:p>
    <w:p>
      <w:pPr>
        <w:pStyle w:val="style24"/>
      </w:pPr>
      <w:r>
        <w:rPr>
          <w:szCs w:val="28"/>
        </w:rPr>
        <w:t>Методика обучения игре на духовых инструментах (очерки). Вып.4 /Под ред. Ю.А.Усова – М., 1976.</w:t>
      </w:r>
    </w:p>
    <w:p>
      <w:pPr>
        <w:pStyle w:val="style24"/>
      </w:pPr>
      <w:r>
        <w:rPr>
          <w:szCs w:val="28"/>
        </w:rPr>
        <w:t>К.Мюльберг. Теоретические основы обучения игре на кларнете. – Киев, 1975.</w:t>
      </w:r>
    </w:p>
    <w:p>
      <w:pPr>
        <w:pStyle w:val="style24"/>
      </w:pPr>
      <w:r>
        <w:rPr>
          <w:szCs w:val="28"/>
        </w:rPr>
        <w:t>Е.Носырев. Методика обучения игре на гобое. – Киев, 1971.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Назайкинский Е.В. О психологии музыкального восприятия – М.1972</w:t>
      </w:r>
    </w:p>
    <w:p>
      <w:pPr>
        <w:pStyle w:val="style24"/>
      </w:pPr>
      <w:r>
        <w:rPr>
          <w:szCs w:val="28"/>
        </w:rPr>
        <w:t>Д.Свечков. Духовой оркестр. – М,, 1977.</w:t>
      </w:r>
    </w:p>
    <w:p>
      <w:pPr>
        <w:pStyle w:val="style24"/>
      </w:pPr>
      <w:r>
        <w:rPr>
          <w:szCs w:val="28"/>
        </w:rPr>
        <w:t>В.Сумеркин. Методика обучения игре на тромбоне. – М,, 1987.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Сумеркин В. Тромбон. – М., 1975.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Тараканов М. Инструментальный концерт. – М., 1986.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Тризно. Флейта. – М., 1964.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Теплов Б. Психология музыкальных способностей  - М. 1969</w:t>
      </w:r>
    </w:p>
    <w:p>
      <w:pPr>
        <w:pStyle w:val="style24"/>
      </w:pPr>
      <w:r>
        <w:rPr>
          <w:szCs w:val="28"/>
        </w:rPr>
        <w:t>Р.Терёхин, В.Апатский. Методика обучения игре на фаготе. – М,, 1988.</w:t>
      </w:r>
    </w:p>
    <w:p>
      <w:pPr>
        <w:pStyle w:val="style24"/>
      </w:pPr>
      <w:r>
        <w:rPr>
          <w:szCs w:val="28"/>
        </w:rPr>
        <w:t>А.Усов. Вопросы теории и практики игры на валторне. – М., 1957 , 1965.</w:t>
      </w:r>
    </w:p>
    <w:p>
      <w:pPr>
        <w:pStyle w:val="style24"/>
      </w:pPr>
      <w:r>
        <w:rPr>
          <w:szCs w:val="28"/>
        </w:rPr>
        <w:t>Ю.Усов. Методика обучения игре на тубе. – М,, 1984.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Усов Ю. Воспитание исполнителей на духовых инструментах в Московской консерватории (1866-1916). Методика обучения на духовых инструментах. Очерки. Вып.2 /Под ред. Ю.Усова – М., 1971.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Усов Ю. Воспитание исполнителей на духовых инструментах  в Московской консерватории (1916-1967). Методика обучения игре на духовых инструментах. Очерки. Вып.3 /Под ред. Ю.Усова – М., 1971.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Усов Ю. История отечественного исполнительства на духовых инструментах. – М., 1978.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Усов Ю. История зарубежного исполнительства на духовых инструментах. – М., 1978.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Усов Ю. Труба. –1989.</w:t>
      </w:r>
    </w:p>
    <w:p>
      <w:pPr>
        <w:pStyle w:val="style24"/>
      </w:pPr>
      <w:r>
        <w:rPr>
          <w:szCs w:val="28"/>
        </w:rPr>
        <w:t>А.Федотов. Методика обучения игре на духовых инструментах. – М., 1975.</w:t>
      </w:r>
    </w:p>
    <w:p>
      <w:pPr>
        <w:pStyle w:val="style0"/>
        <w:jc w:val="both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100" w:lineRule="atLeast"/>
      </w:pPr>
      <w:r>
        <w:rPr>
          <w:sz w:val="28"/>
          <w:szCs w:val="28"/>
          <w:bCs/>
          <w:rFonts w:ascii="Times New Roman" w:hAnsi="Times New Roman"/>
        </w:rPr>
        <w:t>Шульпяков О. Техническое развитие музыканта – исполнителя. – Л., 1973</w:t>
      </w:r>
    </w:p>
    <w:p>
      <w:pPr>
        <w:pStyle w:val="style0"/>
        <w:ind w:hanging="0" w:left="0" w:right="535"/>
        <w:spacing w:line="100" w:lineRule="atLeast"/>
      </w:pPr>
      <w:r>
        <w:rPr>
          <w:sz w:val="28"/>
          <w:rFonts w:ascii="Times New Roman" w:hAnsi="Times New Roman"/>
        </w:rPr>
        <w:t>Юргенсон П. Гобой. – М., 1973.</w:t>
      </w:r>
    </w:p>
    <w:p>
      <w:pPr>
        <w:pStyle w:val="style24"/>
      </w:pPr>
      <w:r>
        <w:rPr>
          <w:szCs w:val="28"/>
        </w:rPr>
        <w:t>И.Якустиди. Методика обучения игре на валторне. – Киев, 1977.</w:t>
      </w:r>
    </w:p>
    <w:p>
      <w:pPr>
        <w:pStyle w:val="style24"/>
      </w:pPr>
      <w:r>
        <w:rPr>
          <w:b/>
          <w:szCs w:val="28"/>
        </w:rPr>
        <w:t>Дополнительные источники:</w:t>
      </w:r>
    </w:p>
    <w:p>
      <w:pPr>
        <w:pStyle w:val="style24"/>
      </w:pPr>
      <w:r>
        <w:rPr>
          <w:szCs w:val="28"/>
        </w:rPr>
        <w:t>Буйлова Л.Н. Кочиева С.В.  Организация методической службы. – М., 2001</w:t>
      </w:r>
    </w:p>
    <w:p>
      <w:pPr>
        <w:pStyle w:val="style24"/>
      </w:pPr>
      <w:r>
        <w:rPr>
          <w:szCs w:val="28"/>
        </w:rPr>
        <w:t>Булыго К. Проблемные ситуации в обучении музыканта – исполнителя. (Методические рекомендации). – Минск 1979</w:t>
      </w:r>
    </w:p>
    <w:p>
      <w:pPr>
        <w:pStyle w:val="style24"/>
      </w:pPr>
      <w:r>
        <w:rPr>
          <w:szCs w:val="28"/>
        </w:rPr>
        <w:t>Волков Н.В. Теория и практика искусства игры на духовых инструментах  = М. Альма Матер 2008</w:t>
      </w:r>
    </w:p>
    <w:p>
      <w:pPr>
        <w:pStyle w:val="style24"/>
      </w:pPr>
      <w:r>
        <w:rPr>
          <w:szCs w:val="28"/>
        </w:rPr>
        <w:t>Вопросы музыкальной педагогики. Вып. 1\ ред. – сост. В. Натансон. – М., 1979</w:t>
      </w:r>
    </w:p>
    <w:p>
      <w:pPr>
        <w:pStyle w:val="style24"/>
      </w:pPr>
      <w:r>
        <w:rPr>
          <w:szCs w:val="28"/>
        </w:rPr>
        <w:t>Ильенко Л.П. Новые модели методической службы. М., 2000</w:t>
      </w:r>
    </w:p>
    <w:p>
      <w:pPr>
        <w:pStyle w:val="style24"/>
      </w:pPr>
      <w:r>
        <w:rPr>
          <w:szCs w:val="28"/>
        </w:rPr>
        <w:t>Кременштейн Б. Педагогика Г.Г.Нейгауза – М.,  1984</w:t>
      </w:r>
    </w:p>
    <w:p>
      <w:pPr>
        <w:pStyle w:val="style24"/>
      </w:pPr>
      <w:r>
        <w:rPr>
          <w:szCs w:val="28"/>
        </w:rPr>
        <w:t>Любомудрова Н. Методика обучения  игре на фортепиано. – М., 1963</w:t>
      </w:r>
    </w:p>
    <w:p>
      <w:pPr>
        <w:pStyle w:val="style24"/>
      </w:pPr>
      <w:r>
        <w:rPr>
          <w:szCs w:val="28"/>
        </w:rPr>
        <w:t>Ляховицкая М.И.   О педагогическом мастерстве.  – Л., 1963</w:t>
      </w:r>
    </w:p>
    <w:p>
      <w:pPr>
        <w:pStyle w:val="style24"/>
      </w:pPr>
      <w:r>
        <w:rPr>
          <w:szCs w:val="28"/>
        </w:rPr>
        <w:t>Назаров И. Основы музыкально – исполнительской техники и метод её совершенствования. – Л., 1969</w:t>
      </w:r>
    </w:p>
    <w:p>
      <w:pPr>
        <w:pStyle w:val="style24"/>
      </w:pPr>
      <w:r>
        <w:rPr>
          <w:szCs w:val="28"/>
        </w:rPr>
        <w:t>Нейгауз Г. Об искусстве фортепианной игры. – М., 1967</w:t>
      </w:r>
    </w:p>
    <w:p>
      <w:pPr>
        <w:pStyle w:val="style24"/>
      </w:pPr>
      <w:r>
        <w:rPr>
          <w:szCs w:val="28"/>
        </w:rPr>
        <w:t>Орлов В.И. Методические основы обучения. – М., 2000</w:t>
      </w:r>
    </w:p>
    <w:p>
      <w:pPr>
        <w:pStyle w:val="style24"/>
      </w:pPr>
      <w:r>
        <w:rPr>
          <w:szCs w:val="28"/>
        </w:rPr>
        <w:t>Система детского музыкального воспитания Карла Орфа \ Ред. и вст. Статья Л. Баренбойма. – Л., 1970</w:t>
      </w:r>
    </w:p>
    <w:p>
      <w:pPr>
        <w:pStyle w:val="style24"/>
      </w:pPr>
      <w:r>
        <w:rPr>
          <w:szCs w:val="28"/>
        </w:rPr>
        <w:t>Пушечников И. Искусство игры на гобое. – С.-П. 2005</w:t>
      </w:r>
    </w:p>
    <w:p>
      <w:pPr>
        <w:pStyle w:val="style24"/>
      </w:pPr>
      <w:r>
        <w:rPr>
          <w:szCs w:val="28"/>
        </w:rPr>
        <w:t>Сухомлинский В.  О воспитании. – Минск, 1978</w:t>
      </w:r>
    </w:p>
    <w:p>
      <w:pPr>
        <w:pStyle w:val="style24"/>
      </w:pPr>
      <w:r>
        <w:rPr>
          <w:szCs w:val="28"/>
        </w:rPr>
        <w:t>Теплов Б. Проблемы индивидуальных различий. – М., 1969</w:t>
      </w:r>
    </w:p>
    <w:p>
      <w:pPr>
        <w:pStyle w:val="style24"/>
      </w:pPr>
      <w:r>
        <w:rPr>
          <w:szCs w:val="28"/>
        </w:rPr>
        <w:t>Фейгин М. Индивидуальность ученика и искусство педагога. – М., 1968</w:t>
      </w:r>
    </w:p>
    <w:p>
      <w:pPr>
        <w:pStyle w:val="style0"/>
        <w:jc w:val="both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both"/>
        <w:spacing w:line="100" w:lineRule="atLeast"/>
      </w:pPr>
      <w:r>
        <w:rPr/>
      </w:r>
    </w:p>
    <w:sectPr>
      <w:formProt w:val="off"/>
      <w:pgSz w:h="16838" w:w="11906"/>
      <w:docGrid w:charSpace="4096" w:linePitch="240" w:type="default"/>
      <w:textDirection w:val="lrTb"/>
      <w:pgNumType w:fmt="decimal"/>
      <w:type w:val="nextPage"/>
      <w:pgMar w:bottom="720" w:left="720" w:right="720" w:top="72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itch w:val="variable"/>
  </w:font>
  <w:font w:name="Symbol">
    <w:charset w:val="02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4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6">
    <w:lvl w:ilvl="0">
      <w:start w:val="1"/>
      <w:numFmt w:val="bullet"/>
      <w:lvlJc w:val="left"/>
      <w:lvlText w:val=""/>
      <w:pPr>
        <w:ind w:hanging="360" w:left="144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720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bullet"/>
      <w:lvlJc w:val="left"/>
      <w:lvlText w:val="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8">
    <w:lvl w:ilvl="0">
      <w:start w:val="1"/>
      <w:numFmt w:val="bullet"/>
      <w:lvlJc w:val="left"/>
      <w:lvlText w:val=""/>
      <w:pPr>
        <w:ind w:hanging="360" w:left="144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7200"/>
      </w:pPr>
      <w:rPr>
        <w:rFonts w:ascii="Wingdings" w:cs="Wingdings" w:hAnsi="Wingdings" w:hint="default"/>
      </w:rPr>
    </w:lvl>
  </w:abstractNum>
  <w:abstractNum w:abstractNumId="9">
    <w:lvl w:ilvl="0">
      <w:start w:val="1"/>
      <w:numFmt w:val="bullet"/>
      <w:lvlJc w:val="left"/>
      <w:lvlText w:val=""/>
      <w:pPr>
        <w:ind w:hanging="360" w:left="144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7200"/>
      </w:pPr>
      <w:rPr>
        <w:rFonts w:ascii="Wingdings" w:cs="Wingdings" w:hAnsi="Wingdings" w:hint="default"/>
      </w:rPr>
    </w:lvl>
  </w:abstractNum>
  <w:abstractNum w:abstractNumId="10">
    <w:lvl w:ilvl="0">
      <w:start w:val="1"/>
      <w:numFmt w:val="bullet"/>
      <w:lvlJc w:val="left"/>
      <w:lvlText w:val=""/>
      <w:pPr>
        <w:ind w:hanging="360" w:left="108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840"/>
      </w:pPr>
      <w:rPr>
        <w:rFonts w:ascii="Wingdings" w:cs="Wingdings" w:hAnsi="Wingdings" w:hint="default"/>
      </w:rPr>
    </w:lvl>
  </w:abstractNum>
  <w:abstractNum w:abstractNumId="11">
    <w:lvl w:ilvl="0">
      <w:start w:val="1"/>
      <w:numFmt w:val="bullet"/>
      <w:lvlJc w:val="left"/>
      <w:lvlText w:val=""/>
      <w:pPr>
        <w:ind w:hanging="360" w:left="144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7200"/>
      </w:pPr>
      <w:rPr>
        <w:rFonts w:ascii="Wingdings" w:cs="Wingdings" w:hAnsi="Wingdings" w:hint="default"/>
      </w:rPr>
    </w:lvl>
  </w:abstractNum>
  <w:abstractNum w:abstractNumId="12">
    <w:lvl w:ilvl="0">
      <w:start w:val="1"/>
      <w:numFmt w:val="bullet"/>
      <w:lvlJc w:val="left"/>
      <w:lvlText w:val=""/>
      <w:pPr>
        <w:ind w:hanging="360" w:left="144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7200"/>
      </w:pPr>
      <w:rPr>
        <w:rFonts w:ascii="Wingdings" w:cs="Wingdings" w:hAnsi="Wingdings" w:hint="default"/>
      </w:rPr>
    </w:lvl>
  </w:abstractNum>
  <w:abstractNum w:abstractNumId="13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14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15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16">
    <w:lvl w:ilvl="0">
      <w:start w:val="1"/>
      <w:numFmt w:val="bullet"/>
      <w:lvlJc w:val="left"/>
      <w:lvlText w:val="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17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18">
    <w:lvl w:ilvl="0">
      <w:start w:val="1"/>
      <w:numFmt w:val="bullet"/>
      <w:lvlJc w:val="left"/>
      <w:lvlText w:val=""/>
      <w:pPr>
        <w:ind w:hanging="360" w:left="108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840"/>
      </w:pPr>
      <w:rPr>
        <w:rFonts w:ascii="Wingdings" w:cs="Wingdings" w:hAnsi="Wingdings" w:hint="default"/>
      </w:rPr>
    </w:lvl>
  </w:abstractNum>
  <w:abstractNum w:abstractNumId="19">
    <w:lvl w:ilvl="0">
      <w:start w:val="1"/>
      <w:numFmt w:val="decimal"/>
      <w:lvlJc w:val="left"/>
      <w:lvlText w:val="%1."/>
      <w:pPr>
        <w:ind w:hanging="360" w:left="1080"/>
      </w:pPr>
      <w:rPr/>
    </w:lvl>
    <w:lvl w:ilvl="1">
      <w:start w:val="1"/>
      <w:numFmt w:val="lowerLetter"/>
      <w:lvlJc w:val="left"/>
      <w:lvlText w:val="%2."/>
      <w:pPr>
        <w:ind w:hanging="360" w:left="1800"/>
      </w:pPr>
      <w:rPr/>
    </w:lvl>
    <w:lvl w:ilvl="2">
      <w:start w:val="1"/>
      <w:numFmt w:val="lowerRoman"/>
      <w:lvlJc w:val="right"/>
      <w:lvlText w:val="%2.%3."/>
      <w:pPr>
        <w:ind w:hanging="180" w:left="2520"/>
      </w:pPr>
      <w:rPr/>
    </w:lvl>
    <w:lvl w:ilvl="3">
      <w:start w:val="1"/>
      <w:numFmt w:val="decimal"/>
      <w:lvlJc w:val="left"/>
      <w:lvlText w:val="%2.%3.%4."/>
      <w:pPr>
        <w:ind w:hanging="360" w:left="3240"/>
      </w:pPr>
      <w:rPr/>
    </w:lvl>
    <w:lvl w:ilvl="4">
      <w:start w:val="1"/>
      <w:numFmt w:val="lowerLetter"/>
      <w:lvlJc w:val="left"/>
      <w:lvlText w:val="%2.%3.%4.%5."/>
      <w:pPr>
        <w:ind w:hanging="360" w:left="3960"/>
      </w:pPr>
      <w:rPr/>
    </w:lvl>
    <w:lvl w:ilvl="5">
      <w:start w:val="1"/>
      <w:numFmt w:val="lowerRoman"/>
      <w:lvlJc w:val="right"/>
      <w:lvlText w:val="%2.%3.%4.%5.%6."/>
      <w:pPr>
        <w:ind w:hanging="180" w:left="4680"/>
      </w:pPr>
      <w:rPr/>
    </w:lvl>
    <w:lvl w:ilvl="6">
      <w:start w:val="1"/>
      <w:numFmt w:val="decimal"/>
      <w:lvlJc w:val="left"/>
      <w:lvlText w:val="%2.%3.%4.%5.%6.%7."/>
      <w:pPr>
        <w:ind w:hanging="360" w:left="5400"/>
      </w:pPr>
      <w:rPr/>
    </w:lvl>
    <w:lvl w:ilvl="7">
      <w:start w:val="1"/>
      <w:numFmt w:val="lowerLetter"/>
      <w:lvlJc w:val="left"/>
      <w:lvlText w:val="%2.%3.%4.%5.%6.%7.%8."/>
      <w:pPr>
        <w:ind w:hanging="360" w:left="6120"/>
      </w:pPr>
      <w:rPr/>
    </w:lvl>
    <w:lvl w:ilvl="8">
      <w:start w:val="1"/>
      <w:numFmt w:val="lowerRoman"/>
      <w:lvlJc w:val="right"/>
      <w:lvlText w:val="%2.%3.%4.%5.%6.%7.%8.%9."/>
      <w:pPr>
        <w:ind w:hanging="180" w:left="6840"/>
      </w:pPr>
      <w:rPr/>
    </w:lvl>
  </w:abstractNum>
  <w:abstractNum w:abstractNumId="20">
    <w:lvl w:ilvl="0">
      <w:start w:val="1"/>
      <w:numFmt w:val="bullet"/>
      <w:lvlJc w:val="left"/>
      <w:lvlText w:val=""/>
      <w:pPr>
        <w:ind w:hanging="360" w:left="144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7200"/>
      </w:pPr>
      <w:rPr>
        <w:rFonts w:ascii="Wingdings" w:cs="Wingdings" w:hAnsi="Wingdings" w:hint="default"/>
      </w:rPr>
    </w:lvl>
  </w:abstractNum>
  <w:abstractNum w:abstractNumId="21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22">
    <w:lvl w:ilvl="0">
      <w:start w:val="1"/>
      <w:numFmt w:val="bullet"/>
      <w:lvlJc w:val="left"/>
      <w:lvlText w:val=""/>
      <w:pPr>
        <w:ind w:hanging="360" w:left="144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7200"/>
      </w:pPr>
      <w:rPr>
        <w:rFonts w:ascii="Wingdings" w:cs="Wingdings" w:hAnsi="Wingdings" w:hint="default"/>
      </w:rPr>
    </w:lvl>
  </w:abstractNum>
  <w:abstractNum w:abstractNumId="23">
    <w:lvl w:ilvl="0">
      <w:start w:val="1"/>
      <w:numFmt w:val="bullet"/>
      <w:lvlJc w:val="left"/>
      <w:lvlText w:val=""/>
      <w:pPr>
        <w:ind w:hanging="360" w:left="108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840"/>
      </w:pPr>
      <w:rPr>
        <w:rFonts w:ascii="Wingdings" w:cs="Wingdings" w:hAnsi="Wingdings" w:hint="default"/>
      </w:rPr>
    </w:lvl>
  </w:abstractNum>
  <w:abstractNum w:abstractNumId="24">
    <w:lvl w:ilvl="0">
      <w:start w:val="1"/>
      <w:numFmt w:val="decimal"/>
      <w:lvlJc w:val="left"/>
      <w:lvlText w:val="%1."/>
      <w:pPr>
        <w:ind w:hanging="360" w:left="720"/>
      </w:pPr>
    </w:lvl>
    <w:lvl w:ilvl="1">
      <w:start w:val="1"/>
      <w:numFmt w:val="lowerLetter"/>
      <w:lvlJc w:val="left"/>
      <w:lvlText w:val="%2."/>
      <w:pPr>
        <w:ind w:hanging="360" w:left="1440"/>
      </w:pPr>
    </w:lvl>
    <w:lvl w:ilvl="2">
      <w:start w:val="1"/>
      <w:numFmt w:val="lowerRoman"/>
      <w:lvlJc w:val="right"/>
      <w:lvlText w:val="%2.%3."/>
      <w:pPr>
        <w:ind w:hanging="180" w:left="2160"/>
      </w:pPr>
    </w:lvl>
    <w:lvl w:ilvl="3">
      <w:start w:val="1"/>
      <w:numFmt w:val="decimal"/>
      <w:lvlJc w:val="left"/>
      <w:lvlText w:val="%2.%3.%4."/>
      <w:pPr>
        <w:ind w:hanging="360" w:left="2880"/>
      </w:pPr>
    </w:lvl>
    <w:lvl w:ilvl="4">
      <w:start w:val="1"/>
      <w:numFmt w:val="lowerLetter"/>
      <w:lvlJc w:val="left"/>
      <w:lvlText w:val="%2.%3.%4.%5."/>
      <w:pPr>
        <w:ind w:hanging="360" w:left="3600"/>
      </w:pPr>
    </w:lvl>
    <w:lvl w:ilvl="5">
      <w:start w:val="1"/>
      <w:numFmt w:val="lowerRoman"/>
      <w:lvlJc w:val="right"/>
      <w:lvlText w:val="%2.%3.%4.%5.%6."/>
      <w:pPr>
        <w:ind w:hanging="180" w:left="4320"/>
      </w:pPr>
    </w:lvl>
    <w:lvl w:ilvl="6">
      <w:start w:val="1"/>
      <w:numFmt w:val="decimal"/>
      <w:lvlJc w:val="left"/>
      <w:lvlText w:val="%2.%3.%4.%5.%6.%7."/>
      <w:pPr>
        <w:ind w:hanging="360" w:left="5040"/>
      </w:pPr>
    </w:lvl>
    <w:lvl w:ilvl="7">
      <w:start w:val="1"/>
      <w:numFmt w:val="lowerLetter"/>
      <w:lvlJc w:val="left"/>
      <w:lvlText w:val="%2.%3.%4.%5.%6.%7.%8."/>
      <w:pPr>
        <w:ind w:hanging="360" w:left="5760"/>
      </w:pPr>
    </w:lvl>
    <w:lvl w:ilvl="8">
      <w:start w:val="1"/>
      <w:numFmt w:val="lowerRoman"/>
      <w:lvlJc w:val="right"/>
      <w:lvlText w:val="%2.%3.%4.%5.%6.%7.%8.%9."/>
      <w:pPr>
        <w:ind w:hanging="180" w:left="6480"/>
      </w:pPr>
    </w:lvl>
  </w:abstractNum>
  <w:abstractNum w:abstractNumId="25">
    <w:lvl w:ilvl="0">
      <w:start w:val="1"/>
      <w:numFmt w:val="bullet"/>
      <w:lvlJc w:val="left"/>
      <w:lvlText w:val="-"/>
      <w:pPr>
        <w:ind w:hanging="360" w:left="720"/>
      </w:pPr>
      <w:rPr>
        <w:rFonts w:ascii="Times New Roman" w:cs="Times New Roman" w:hAnsi="Times New Roman" w:hint="default"/>
      </w:rPr>
    </w:lvl>
    <w:lvl w:ilvl="1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26">
    <w:lvl w:ilvl="0">
      <w:start w:val="1"/>
      <w:numFmt w:val="none"/>
      <w:lvlJc w:val="left"/>
      <w:suff w:val="nothing"/>
      <w:lvlText w:val=""/>
      <w:pPr>
        <w:ind w:hanging="432" w:left="432"/>
      </w:pPr>
    </w:lvl>
    <w:lvl w:ilvl="1">
      <w:start w:val="1"/>
      <w:numFmt w:val="none"/>
      <w:lvlJc w:val="left"/>
      <w:suff w:val="nothing"/>
      <w:lvlText w:val=""/>
      <w:pPr>
        <w:ind w:hanging="576" w:left="576"/>
      </w:pPr>
    </w:lvl>
    <w:lvl w:ilvl="2">
      <w:start w:val="1"/>
      <w:numFmt w:val="none"/>
      <w:lvlJc w:val="left"/>
      <w:suff w:val="nothing"/>
      <w:lvlText w:val=""/>
      <w:pPr>
        <w:ind w:hanging="720" w:left="720"/>
      </w:pPr>
    </w:lvl>
    <w:lvl w:ilvl="3">
      <w:start w:val="1"/>
      <w:numFmt w:val="none"/>
      <w:lvlJc w:val="left"/>
      <w:suff w:val="nothing"/>
      <w:lvlText w:val=""/>
      <w:pPr>
        <w:ind w:hanging="864" w:left="864"/>
      </w:pPr>
    </w:lvl>
    <w:lvl w:ilvl="4">
      <w:start w:val="1"/>
      <w:numFmt w:val="none"/>
      <w:lvlJc w:val="left"/>
      <w:suff w:val="nothing"/>
      <w:lvlText w:val=""/>
      <w:pPr>
        <w:ind w:hanging="1008" w:left="1008"/>
      </w:pPr>
    </w:lvl>
    <w:lvl w:ilvl="5">
      <w:start w:val="1"/>
      <w:numFmt w:val="none"/>
      <w:lvlJc w:val="left"/>
      <w:suff w:val="nothing"/>
      <w:lvlText w:val=""/>
      <w:pPr>
        <w:ind w:hanging="1152" w:left="1152"/>
      </w:pPr>
    </w:lvl>
    <w:lvl w:ilvl="6">
      <w:start w:val="1"/>
      <w:numFmt w:val="none"/>
      <w:lvlJc w:val="left"/>
      <w:suff w:val="nothing"/>
      <w:lvlText w:val=""/>
      <w:pPr>
        <w:ind w:hanging="1296" w:left="1296"/>
      </w:pPr>
    </w:lvl>
    <w:lvl w:ilvl="7">
      <w:start w:val="1"/>
      <w:numFmt w:val="none"/>
      <w:lvlJc w:val="left"/>
      <w:suff w:val="nothing"/>
      <w:lvlText w:val=""/>
      <w:pPr>
        <w:ind w:hanging="1440" w:left="1440"/>
      </w:pPr>
    </w:lvl>
    <w:lvl w:ilvl="8">
      <w:start w:val="1"/>
      <w:numFmt w:val="none"/>
      <w:lvlJc w:val="left"/>
      <w:suff w:val="nothing"/>
      <w:lvlText w:val=""/>
      <w:pPr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Times New Roman" w:eastAsia="Calibri" w:hAnsi="Calibri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Основной текст Знак"/>
    <w:basedOn w:val="style15"/>
    <w:next w:val="style16"/>
    <w:rPr/>
  </w:style>
  <w:style w:styleId="style17" w:type="character">
    <w:name w:val="Интернет-ссылка"/>
    <w:basedOn w:val="style15"/>
    <w:next w:val="style17"/>
    <w:rPr>
      <w:color w:val="0000FF"/>
      <w:u w:val="single"/>
      <w:lang w:bidi="ru-RU" w:eastAsia="ru-RU" w:val="ru-RU"/>
    </w:rPr>
  </w:style>
  <w:style w:styleId="style18" w:type="character">
    <w:name w:val="Основной текст 2 Знак"/>
    <w:basedOn w:val="style15"/>
    <w:next w:val="style18"/>
    <w:rPr/>
  </w:style>
  <w:style w:styleId="style19" w:type="character">
    <w:name w:val="Основной текст 3 Знак"/>
    <w:basedOn w:val="style15"/>
    <w:next w:val="style19"/>
    <w:rPr/>
  </w:style>
  <w:style w:styleId="style20" w:type="character">
    <w:name w:val="ListLabel 1"/>
    <w:next w:val="style20"/>
    <w:rPr>
      <w:rFonts w:cs="Courier New"/>
    </w:rPr>
  </w:style>
  <w:style w:styleId="style21" w:type="character">
    <w:name w:val="ListLabel 2"/>
    <w:next w:val="style21"/>
    <w:rPr>
      <w:rFonts w:cs="Times New Roman"/>
    </w:rPr>
  </w:style>
  <w:style w:styleId="style22" w:type="character">
    <w:name w:val="ListLabel 3"/>
    <w:next w:val="style22"/>
    <w:rPr>
      <w:rFonts w:cs="Times New Roman" w:eastAsia="Times New Roman"/>
    </w:rPr>
  </w:style>
  <w:style w:styleId="style23" w:type="paragraph">
    <w:name w:val="Заголовок"/>
    <w:basedOn w:val="style0"/>
    <w:next w:val="style24"/>
    <w:pPr>
      <w:keepNext/>
      <w:spacing w:after="120" w:before="240"/>
    </w:pPr>
    <w:rPr>
      <w:sz w:val="28"/>
      <w:szCs w:val="28"/>
      <w:rFonts w:ascii="Arial" w:cs="Mangal" w:eastAsia="Lucida Sans Unicode" w:hAnsi="Arial"/>
    </w:rPr>
  </w:style>
  <w:style w:styleId="style24" w:type="paragraph">
    <w:name w:val="Основной текст"/>
    <w:basedOn w:val="style0"/>
    <w:next w:val="style24"/>
    <w:pPr>
      <w:ind w:hanging="0" w:left="0" w:right="535"/>
      <w:spacing w:after="0" w:before="0" w:line="100" w:lineRule="atLeast"/>
    </w:pPr>
    <w:rPr>
      <w:sz w:val="28"/>
      <w:szCs w:val="24"/>
      <w:rFonts w:ascii="Times New Roman" w:eastAsia="Times New Roman" w:hAnsi="Times New Roman"/>
      <w:lang w:eastAsia="ru-RU"/>
    </w:rPr>
  </w:style>
  <w:style w:styleId="style25" w:type="paragraph">
    <w:name w:val="Список"/>
    <w:basedOn w:val="style24"/>
    <w:next w:val="style25"/>
    <w:pPr/>
    <w:rPr>
      <w:rFonts w:ascii="Arial" w:cs="Mangal" w:hAnsi="Arial"/>
    </w:rPr>
  </w:style>
  <w:style w:styleId="style26" w:type="paragraph">
    <w:name w:val="Название"/>
    <w:basedOn w:val="style0"/>
    <w:next w:val="style26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27" w:type="paragraph">
    <w:name w:val="Указатель"/>
    <w:basedOn w:val="style0"/>
    <w:next w:val="style27"/>
    <w:pPr>
      <w:suppressLineNumbers/>
    </w:pPr>
    <w:rPr>
      <w:rFonts w:ascii="Arial" w:cs="Mangal" w:hAnsi="Arial"/>
    </w:rPr>
  </w:style>
  <w:style w:styleId="style28" w:type="paragraph">
    <w:name w:val="List Paragraph"/>
    <w:basedOn w:val="style0"/>
    <w:next w:val="style28"/>
    <w:pPr/>
    <w:rPr/>
  </w:style>
  <w:style w:styleId="style29" w:type="paragraph">
    <w:name w:val="Body Text 2"/>
    <w:basedOn w:val="style0"/>
    <w:next w:val="style29"/>
    <w:pPr/>
    <w:rPr/>
  </w:style>
  <w:style w:styleId="style30" w:type="paragraph">
    <w:name w:val="Body Text 3"/>
    <w:basedOn w:val="style0"/>
    <w:next w:val="style30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hyperlink" Target="file:///C:\Documents and Settings\1\Application Data\Microsoft\Word\musictheory.by.ru\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2013-02-16T10:50:00.00Z</dcterms:created>
  <dc:creator>Лиза</dc:creator>
  <cp:lastModifiedBy>Лиза</cp:lastModifiedBy>
  <cp:lastPrinted>2013-05-24T04:10:00.00Z</cp:lastPrinted>
  <dcterms:modified xsi:type="dcterms:W3CDTF">2013-10-06T10:58:00.00Z</dcterms:modified>
  <cp:revision>4</cp:revision>
</cp:coreProperties>
</file>